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D2D28" w:rsidRDefault="00AD2D28" w:rsidP="00AD2D28">
      <w:pPr>
        <w:spacing w:after="0"/>
        <w:jc w:val="center"/>
        <w:rPr>
          <w:b/>
          <w:bCs/>
          <w:sz w:val="24"/>
          <w:szCs w:val="22"/>
        </w:rPr>
      </w:pPr>
      <w:r w:rsidRPr="00AD2D28">
        <w:rPr>
          <w:b/>
          <w:bCs/>
          <w:sz w:val="24"/>
          <w:szCs w:val="22"/>
        </w:rPr>
        <w:t>AMENDMENT I</w:t>
      </w:r>
    </w:p>
    <w:p w:rsidR="00AD2D28" w:rsidRDefault="00AD2D28" w:rsidP="00AD2D28">
      <w:pPr>
        <w:spacing w:after="0"/>
        <w:jc w:val="both"/>
        <w:rPr>
          <w:sz w:val="24"/>
          <w:szCs w:val="22"/>
        </w:rPr>
      </w:pPr>
    </w:p>
    <w:p w:rsidR="00AD2D28" w:rsidRDefault="00AD2D28" w:rsidP="00630BAD">
      <w:pPr>
        <w:spacing w:after="0"/>
        <w:ind w:left="1800" w:hanging="1800"/>
        <w:jc w:val="both"/>
        <w:rPr>
          <w:b/>
          <w:bCs/>
          <w:sz w:val="24"/>
          <w:szCs w:val="22"/>
        </w:rPr>
      </w:pPr>
      <w:r>
        <w:rPr>
          <w:sz w:val="24"/>
          <w:szCs w:val="22"/>
        </w:rPr>
        <w:t xml:space="preserve">Name of work: </w:t>
      </w:r>
      <w:r w:rsidR="00D238F4" w:rsidRPr="00D238F4">
        <w:rPr>
          <w:b/>
          <w:bCs/>
          <w:sz w:val="24"/>
          <w:szCs w:val="22"/>
        </w:rPr>
        <w:t xml:space="preserve">Construction of New blood bag manufacturing facility at </w:t>
      </w:r>
      <w:proofErr w:type="spellStart"/>
      <w:r w:rsidR="00D238F4" w:rsidRPr="00D238F4">
        <w:rPr>
          <w:b/>
          <w:bCs/>
          <w:sz w:val="24"/>
          <w:szCs w:val="22"/>
        </w:rPr>
        <w:t>Konni</w:t>
      </w:r>
      <w:proofErr w:type="spellEnd"/>
      <w:r w:rsidR="00D238F4" w:rsidRPr="00D238F4">
        <w:rPr>
          <w:b/>
          <w:bCs/>
          <w:sz w:val="24"/>
          <w:szCs w:val="22"/>
        </w:rPr>
        <w:t xml:space="preserve">, </w:t>
      </w:r>
      <w:proofErr w:type="spellStart"/>
      <w:r w:rsidR="00D238F4" w:rsidRPr="00D238F4">
        <w:rPr>
          <w:b/>
          <w:bCs/>
          <w:sz w:val="24"/>
          <w:szCs w:val="22"/>
        </w:rPr>
        <w:t>Pathanamthitta</w:t>
      </w:r>
      <w:proofErr w:type="spellEnd"/>
      <w:r w:rsidR="00D238F4" w:rsidRPr="00D238F4">
        <w:rPr>
          <w:b/>
          <w:bCs/>
          <w:sz w:val="24"/>
          <w:szCs w:val="22"/>
        </w:rPr>
        <w:t xml:space="preserve"> for HLL </w:t>
      </w:r>
      <w:proofErr w:type="spellStart"/>
      <w:r w:rsidR="00D238F4" w:rsidRPr="00D238F4">
        <w:rPr>
          <w:b/>
          <w:bCs/>
          <w:sz w:val="24"/>
          <w:szCs w:val="22"/>
        </w:rPr>
        <w:t>Lifecare</w:t>
      </w:r>
      <w:proofErr w:type="spellEnd"/>
      <w:r w:rsidR="00D238F4" w:rsidRPr="00D238F4">
        <w:rPr>
          <w:b/>
          <w:bCs/>
          <w:sz w:val="24"/>
          <w:szCs w:val="22"/>
        </w:rPr>
        <w:t xml:space="preserve"> Limited</w:t>
      </w:r>
    </w:p>
    <w:p w:rsidR="00D238F4" w:rsidRDefault="00D238F4" w:rsidP="00AD2D28">
      <w:pPr>
        <w:spacing w:after="0"/>
        <w:jc w:val="both"/>
        <w:rPr>
          <w:b/>
          <w:bCs/>
          <w:sz w:val="24"/>
          <w:szCs w:val="22"/>
        </w:rPr>
      </w:pPr>
    </w:p>
    <w:p w:rsidR="00D238F4" w:rsidRDefault="00D238F4" w:rsidP="00AD2D28">
      <w:pPr>
        <w:spacing w:after="0"/>
        <w:jc w:val="both"/>
        <w:rPr>
          <w:sz w:val="24"/>
          <w:szCs w:val="22"/>
        </w:rPr>
      </w:pPr>
      <w:r w:rsidRPr="00D238F4">
        <w:rPr>
          <w:sz w:val="24"/>
          <w:szCs w:val="22"/>
        </w:rPr>
        <w:t xml:space="preserve">Ref: Tender no. HITES/IDS/15/11/KONNI-BB </w:t>
      </w:r>
      <w:proofErr w:type="spellStart"/>
      <w:r w:rsidRPr="00D238F4">
        <w:rPr>
          <w:sz w:val="24"/>
          <w:szCs w:val="22"/>
        </w:rPr>
        <w:t>dtd</w:t>
      </w:r>
      <w:proofErr w:type="spellEnd"/>
      <w:r w:rsidRPr="00D238F4">
        <w:rPr>
          <w:sz w:val="24"/>
          <w:szCs w:val="22"/>
        </w:rPr>
        <w:t xml:space="preserve"> 11.01.2016</w:t>
      </w:r>
    </w:p>
    <w:p w:rsidR="00D238F4" w:rsidRDefault="00D238F4" w:rsidP="00AD2D28">
      <w:pPr>
        <w:spacing w:after="0"/>
        <w:jc w:val="both"/>
        <w:rPr>
          <w:sz w:val="24"/>
          <w:szCs w:val="22"/>
        </w:rPr>
      </w:pPr>
    </w:p>
    <w:p w:rsidR="00D238F4" w:rsidRDefault="00D238F4" w:rsidP="00AD2D28">
      <w:pPr>
        <w:spacing w:after="0"/>
        <w:jc w:val="both"/>
        <w:rPr>
          <w:sz w:val="24"/>
          <w:szCs w:val="22"/>
        </w:rPr>
      </w:pPr>
      <w:r>
        <w:rPr>
          <w:sz w:val="24"/>
          <w:szCs w:val="22"/>
        </w:rPr>
        <w:t xml:space="preserve">The </w:t>
      </w:r>
      <w:r w:rsidR="00B56C0A">
        <w:rPr>
          <w:sz w:val="24"/>
          <w:szCs w:val="22"/>
        </w:rPr>
        <w:t xml:space="preserve">first paragraph of </w:t>
      </w:r>
      <w:r>
        <w:rPr>
          <w:sz w:val="24"/>
          <w:szCs w:val="22"/>
        </w:rPr>
        <w:t xml:space="preserve">clause 37 </w:t>
      </w:r>
      <w:r w:rsidR="00B56C0A">
        <w:rPr>
          <w:sz w:val="24"/>
          <w:szCs w:val="22"/>
        </w:rPr>
        <w:t xml:space="preserve">in </w:t>
      </w:r>
      <w:proofErr w:type="spellStart"/>
      <w:r w:rsidR="00B56C0A">
        <w:rPr>
          <w:sz w:val="24"/>
          <w:szCs w:val="22"/>
        </w:rPr>
        <w:t>Vol</w:t>
      </w:r>
      <w:proofErr w:type="spellEnd"/>
      <w:r w:rsidR="00B56C0A">
        <w:rPr>
          <w:sz w:val="24"/>
          <w:szCs w:val="22"/>
        </w:rPr>
        <w:t xml:space="preserve"> III (Special Condition of Contract)</w:t>
      </w:r>
      <w:r w:rsidR="00016271">
        <w:rPr>
          <w:sz w:val="24"/>
          <w:szCs w:val="22"/>
        </w:rPr>
        <w:t xml:space="preserve"> is amended as follows:</w:t>
      </w:r>
    </w:p>
    <w:p w:rsidR="00016271" w:rsidRDefault="00016271" w:rsidP="00AD2D28">
      <w:pPr>
        <w:spacing w:after="0"/>
        <w:jc w:val="both"/>
        <w:rPr>
          <w:sz w:val="24"/>
          <w:szCs w:val="22"/>
        </w:rPr>
      </w:pPr>
    </w:p>
    <w:tbl>
      <w:tblPr>
        <w:tblStyle w:val="TableGrid"/>
        <w:tblW w:w="0" w:type="auto"/>
        <w:tblInd w:w="198" w:type="dxa"/>
        <w:tblLook w:val="04A0"/>
      </w:tblPr>
      <w:tblGrid>
        <w:gridCol w:w="4500"/>
        <w:gridCol w:w="4500"/>
      </w:tblGrid>
      <w:tr w:rsidR="009C3440" w:rsidTr="009C3440">
        <w:trPr>
          <w:trHeight w:val="377"/>
        </w:trPr>
        <w:tc>
          <w:tcPr>
            <w:tcW w:w="4500" w:type="dxa"/>
          </w:tcPr>
          <w:p w:rsidR="009C3440" w:rsidRPr="009C3440" w:rsidRDefault="009C3440" w:rsidP="00AD2D28">
            <w:pPr>
              <w:jc w:val="both"/>
              <w:rPr>
                <w:b/>
                <w:bCs/>
                <w:sz w:val="24"/>
                <w:szCs w:val="24"/>
              </w:rPr>
            </w:pPr>
            <w:r w:rsidRPr="009C3440">
              <w:rPr>
                <w:b/>
                <w:bCs/>
                <w:sz w:val="24"/>
                <w:szCs w:val="24"/>
              </w:rPr>
              <w:t>Original clause in tender document</w:t>
            </w:r>
          </w:p>
        </w:tc>
        <w:tc>
          <w:tcPr>
            <w:tcW w:w="4500" w:type="dxa"/>
          </w:tcPr>
          <w:p w:rsidR="009C3440" w:rsidRPr="009C3440" w:rsidRDefault="009C3440" w:rsidP="00AD2D28">
            <w:pPr>
              <w:jc w:val="both"/>
              <w:rPr>
                <w:b/>
                <w:bCs/>
                <w:sz w:val="24"/>
                <w:szCs w:val="24"/>
              </w:rPr>
            </w:pPr>
            <w:r w:rsidRPr="009C3440">
              <w:rPr>
                <w:b/>
                <w:bCs/>
                <w:sz w:val="24"/>
                <w:szCs w:val="24"/>
              </w:rPr>
              <w:t>Amended clause</w:t>
            </w:r>
          </w:p>
        </w:tc>
      </w:tr>
      <w:tr w:rsidR="009C3440" w:rsidTr="009C3440">
        <w:tc>
          <w:tcPr>
            <w:tcW w:w="4500" w:type="dxa"/>
          </w:tcPr>
          <w:p w:rsidR="009C3440" w:rsidRPr="009C3440" w:rsidRDefault="009C3440" w:rsidP="009C3440">
            <w:pPr>
              <w:widowControl w:val="0"/>
              <w:tabs>
                <w:tab w:val="left" w:pos="426"/>
              </w:tabs>
              <w:autoSpaceDE w:val="0"/>
              <w:autoSpaceDN w:val="0"/>
              <w:adjustRightInd w:val="0"/>
              <w:spacing w:before="29" w:after="120"/>
              <w:jc w:val="both"/>
              <w:rPr>
                <w:rFonts w:cs="Calibri"/>
                <w:sz w:val="24"/>
                <w:szCs w:val="24"/>
              </w:rPr>
            </w:pPr>
            <w:r w:rsidRPr="009C3440">
              <w:rPr>
                <w:rFonts w:cs="Calibri"/>
                <w:b/>
                <w:bCs/>
                <w:sz w:val="24"/>
                <w:szCs w:val="24"/>
              </w:rPr>
              <w:t>Compliance of Statutory Obligations for obtaining completion Certificates:</w:t>
            </w:r>
          </w:p>
          <w:p w:rsidR="009C3440" w:rsidRPr="009C3440" w:rsidRDefault="009C3440" w:rsidP="009C3440">
            <w:pPr>
              <w:widowControl w:val="0"/>
              <w:tabs>
                <w:tab w:val="left" w:pos="426"/>
              </w:tabs>
              <w:autoSpaceDE w:val="0"/>
              <w:autoSpaceDN w:val="0"/>
              <w:adjustRightInd w:val="0"/>
              <w:spacing w:before="29" w:after="120"/>
              <w:jc w:val="both"/>
              <w:rPr>
                <w:rFonts w:cs="Calibri"/>
                <w:sz w:val="24"/>
                <w:szCs w:val="24"/>
              </w:rPr>
            </w:pPr>
            <w:r w:rsidRPr="009C3440">
              <w:rPr>
                <w:rFonts w:cs="Calibri"/>
                <w:sz w:val="24"/>
                <w:szCs w:val="24"/>
              </w:rPr>
              <w:t xml:space="preserve">The Contractor shall </w:t>
            </w:r>
            <w:proofErr w:type="gramStart"/>
            <w:r w:rsidRPr="009C3440">
              <w:rPr>
                <w:rFonts w:cs="Calibri"/>
                <w:sz w:val="24"/>
                <w:szCs w:val="24"/>
              </w:rPr>
              <w:t>comply</w:t>
            </w:r>
            <w:proofErr w:type="gramEnd"/>
            <w:r w:rsidRPr="009C3440">
              <w:rPr>
                <w:rFonts w:cs="Calibri"/>
                <w:sz w:val="24"/>
                <w:szCs w:val="24"/>
              </w:rPr>
              <w:t xml:space="preserve"> all the statutory obligations and obtain all required   clearances to implement the project without any financial repercussions to Engineer-in-charge and ensure all follow up actions with the local authorities in this respect for smooth completion of the project.  All statutory charges to get any NOC, clearances from local authorities shall be reimbursed by the Engineer-in-charge after submission of the bills/documentary evidences by the contractor. The contractor shall assist the Engineer-in-charge to obtain all NOC, completion &amp; Occupancy certificates from respective local bodies and other statutory authorities as under:</w:t>
            </w:r>
          </w:p>
          <w:p w:rsidR="009C3440" w:rsidRPr="009C3440" w:rsidRDefault="009C3440" w:rsidP="00AD2D28">
            <w:pPr>
              <w:jc w:val="both"/>
              <w:rPr>
                <w:sz w:val="24"/>
                <w:szCs w:val="24"/>
              </w:rPr>
            </w:pPr>
          </w:p>
        </w:tc>
        <w:tc>
          <w:tcPr>
            <w:tcW w:w="4500" w:type="dxa"/>
          </w:tcPr>
          <w:p w:rsidR="009C3440" w:rsidRPr="009C3440" w:rsidRDefault="009C3440" w:rsidP="009C3440">
            <w:pPr>
              <w:widowControl w:val="0"/>
              <w:tabs>
                <w:tab w:val="left" w:pos="426"/>
              </w:tabs>
              <w:autoSpaceDE w:val="0"/>
              <w:autoSpaceDN w:val="0"/>
              <w:adjustRightInd w:val="0"/>
              <w:spacing w:before="29" w:after="120"/>
              <w:jc w:val="both"/>
              <w:rPr>
                <w:rFonts w:cs="Calibri"/>
                <w:sz w:val="24"/>
                <w:szCs w:val="24"/>
              </w:rPr>
            </w:pPr>
            <w:r w:rsidRPr="009C3440">
              <w:rPr>
                <w:rFonts w:cs="Calibri"/>
                <w:b/>
                <w:bCs/>
                <w:sz w:val="24"/>
                <w:szCs w:val="24"/>
              </w:rPr>
              <w:t>Compliance of Statutory Obligations for obtaining completion Certificates:</w:t>
            </w:r>
          </w:p>
          <w:p w:rsidR="009C3440" w:rsidRPr="009C3440" w:rsidRDefault="009C3440" w:rsidP="009C3440">
            <w:pPr>
              <w:widowControl w:val="0"/>
              <w:tabs>
                <w:tab w:val="left" w:pos="426"/>
              </w:tabs>
              <w:autoSpaceDE w:val="0"/>
              <w:autoSpaceDN w:val="0"/>
              <w:adjustRightInd w:val="0"/>
              <w:spacing w:before="29" w:after="120"/>
              <w:jc w:val="both"/>
              <w:rPr>
                <w:rFonts w:cs="Calibri"/>
                <w:sz w:val="24"/>
                <w:szCs w:val="24"/>
              </w:rPr>
            </w:pPr>
            <w:r w:rsidRPr="009C3440">
              <w:rPr>
                <w:rFonts w:cs="Calibri"/>
                <w:sz w:val="24"/>
                <w:szCs w:val="24"/>
              </w:rPr>
              <w:t xml:space="preserve">The Contractor shall </w:t>
            </w:r>
            <w:proofErr w:type="gramStart"/>
            <w:r w:rsidRPr="009C3440">
              <w:rPr>
                <w:rFonts w:cs="Calibri"/>
                <w:sz w:val="24"/>
                <w:szCs w:val="24"/>
              </w:rPr>
              <w:t>comply</w:t>
            </w:r>
            <w:proofErr w:type="gramEnd"/>
            <w:r w:rsidRPr="009C3440">
              <w:rPr>
                <w:rFonts w:cs="Calibri"/>
                <w:sz w:val="24"/>
                <w:szCs w:val="24"/>
              </w:rPr>
              <w:t xml:space="preserve"> all the statutory obligations and obtain all required   clearances to implement the project without any financial repercussions to Engineer-in-charge and ensure all follow up actions with the local authorities in this respect for smooth completion of the project. All statutory charges to get any NOC, clearances from local authorities shall be reimbursed by the Engineer-in-charge after submission of the bills/documentary evidences by the contractor. </w:t>
            </w:r>
          </w:p>
          <w:p w:rsidR="009C3440" w:rsidRPr="009C3440" w:rsidRDefault="009C3440" w:rsidP="00AD2D28">
            <w:pPr>
              <w:jc w:val="both"/>
              <w:rPr>
                <w:sz w:val="24"/>
                <w:szCs w:val="24"/>
              </w:rPr>
            </w:pPr>
          </w:p>
        </w:tc>
      </w:tr>
    </w:tbl>
    <w:p w:rsidR="00B56C0A" w:rsidRDefault="00B56C0A" w:rsidP="00AD2D28">
      <w:pPr>
        <w:spacing w:after="0"/>
        <w:jc w:val="both"/>
        <w:rPr>
          <w:sz w:val="24"/>
          <w:szCs w:val="22"/>
        </w:rPr>
      </w:pPr>
    </w:p>
    <w:p w:rsidR="00B56C0A" w:rsidRDefault="00B56C0A" w:rsidP="00AD2D28">
      <w:pPr>
        <w:spacing w:after="0"/>
        <w:jc w:val="both"/>
        <w:rPr>
          <w:sz w:val="24"/>
          <w:szCs w:val="22"/>
        </w:rPr>
      </w:pPr>
    </w:p>
    <w:p w:rsidR="00F146D0" w:rsidRPr="00D238F4" w:rsidRDefault="00F146D0" w:rsidP="00AD2D28">
      <w:pPr>
        <w:spacing w:after="0"/>
        <w:jc w:val="both"/>
        <w:rPr>
          <w:sz w:val="24"/>
          <w:szCs w:val="22"/>
        </w:rPr>
      </w:pPr>
      <w:r>
        <w:rPr>
          <w:sz w:val="24"/>
          <w:szCs w:val="22"/>
        </w:rPr>
        <w:t>Deputy Vice President (Technical)</w:t>
      </w:r>
    </w:p>
    <w:sectPr w:rsidR="00F146D0" w:rsidRPr="00D23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661F"/>
    <w:multiLevelType w:val="hybridMultilevel"/>
    <w:tmpl w:val="93E2B2A0"/>
    <w:lvl w:ilvl="0" w:tplc="B5227AD2">
      <w:start w:val="1"/>
      <w:numFmt w:val="decimal"/>
      <w:lvlText w:val="%1."/>
      <w:lvlJc w:val="left"/>
      <w:pPr>
        <w:ind w:left="420" w:hanging="420"/>
      </w:pPr>
      <w:rPr>
        <w:rFonts w:hint="default"/>
        <w:b/>
      </w:rPr>
    </w:lvl>
    <w:lvl w:ilvl="1" w:tplc="E3A61E38">
      <w:start w:val="1"/>
      <w:numFmt w:val="lowerLetter"/>
      <w:lvlText w:val="(%2)"/>
      <w:lvlJc w:val="left"/>
      <w:pPr>
        <w:ind w:left="990" w:hanging="540"/>
      </w:pPr>
      <w:rPr>
        <w:rFonts w:hint="default"/>
      </w:rPr>
    </w:lvl>
    <w:lvl w:ilvl="2" w:tplc="221C043A">
      <w:start w:val="1"/>
      <w:numFmt w:val="lowerLetter"/>
      <w:lvlText w:val="(%3)."/>
      <w:lvlJc w:val="left"/>
      <w:pPr>
        <w:ind w:left="606" w:hanging="180"/>
      </w:pPr>
      <w:rPr>
        <w:rFonts w:hint="default"/>
      </w:rPr>
    </w:lvl>
    <w:lvl w:ilvl="3" w:tplc="4009000F">
      <w:start w:val="1"/>
      <w:numFmt w:val="decimal"/>
      <w:lvlText w:val="%4."/>
      <w:lvlJc w:val="left"/>
      <w:pPr>
        <w:ind w:left="2520" w:hanging="360"/>
      </w:pPr>
    </w:lvl>
    <w:lvl w:ilvl="4" w:tplc="4B0A370A">
      <w:start w:val="1"/>
      <w:numFmt w:val="lowerLetter"/>
      <w:lvlText w:val="%5)"/>
      <w:lvlJc w:val="left"/>
      <w:pPr>
        <w:ind w:left="3240" w:hanging="360"/>
      </w:pPr>
      <w:rPr>
        <w:rFonts w:hint="default"/>
      </w:r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D2D28"/>
    <w:rsid w:val="00016271"/>
    <w:rsid w:val="001415E6"/>
    <w:rsid w:val="00472C46"/>
    <w:rsid w:val="00630BAD"/>
    <w:rsid w:val="006926FD"/>
    <w:rsid w:val="007478FD"/>
    <w:rsid w:val="00813BC9"/>
    <w:rsid w:val="00825426"/>
    <w:rsid w:val="0090354E"/>
    <w:rsid w:val="009C3440"/>
    <w:rsid w:val="00AD2D28"/>
    <w:rsid w:val="00B56C0A"/>
    <w:rsid w:val="00B77698"/>
    <w:rsid w:val="00CE4DD3"/>
    <w:rsid w:val="00D238F4"/>
    <w:rsid w:val="00F146D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4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qws</dc:creator>
  <cp:keywords/>
  <dc:description/>
  <cp:lastModifiedBy>qws</cp:lastModifiedBy>
  <cp:revision>17</cp:revision>
  <dcterms:created xsi:type="dcterms:W3CDTF">2016-01-30T10:11:00Z</dcterms:created>
  <dcterms:modified xsi:type="dcterms:W3CDTF">2016-01-30T10:29:00Z</dcterms:modified>
</cp:coreProperties>
</file>