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32648D">
        <w:rPr>
          <w:rFonts w:ascii="Arial" w:hAnsi="Arial" w:cs="Arial"/>
          <w:sz w:val="32"/>
          <w:szCs w:val="32"/>
        </w:rPr>
        <w:t>ELISA READER &amp; WASHER</w:t>
      </w:r>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32648D">
        <w:rPr>
          <w:sz w:val="36"/>
          <w:szCs w:val="36"/>
        </w:rPr>
        <w:t>4</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9188880"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CE06BB">
        <w:rPr>
          <w:b/>
        </w:rPr>
        <w:t>4</w:t>
      </w:r>
      <w:r w:rsidR="001E60E2">
        <w:rPr>
          <w:b/>
        </w:rPr>
        <w:t>/</w:t>
      </w:r>
      <w:r w:rsidR="00A65F29">
        <w:rPr>
          <w:b/>
        </w:rPr>
        <w:t>LTE</w:t>
      </w:r>
      <w:r>
        <w:rPr>
          <w:b/>
        </w:rPr>
        <w:tab/>
        <w:t xml:space="preserve">                  Date: </w:t>
      </w:r>
      <w:r w:rsidR="00CE06BB">
        <w:rPr>
          <w:b/>
        </w:rPr>
        <w:t>29</w:t>
      </w:r>
      <w:r w:rsidR="00720038">
        <w:rPr>
          <w:b/>
        </w:rPr>
        <w:t>/0</w:t>
      </w:r>
      <w:r w:rsidR="00227AB2">
        <w:rPr>
          <w:b/>
        </w:rPr>
        <w:t>8</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w:t>
      </w:r>
      <w:r w:rsidR="00290468">
        <w:rPr>
          <w:color w:val="auto"/>
        </w:rPr>
        <w:t>Diagnostic</w:t>
      </w:r>
      <w:r w:rsidR="007947B4">
        <w:rPr>
          <w:color w:val="auto"/>
        </w:rPr>
        <w:t xml:space="preserve"> </w:t>
      </w:r>
      <w:r w:rsidR="00BA1DCD">
        <w:rPr>
          <w:color w:val="auto"/>
        </w:rPr>
        <w:t>Centre</w:t>
      </w:r>
      <w:bookmarkStart w:id="0" w:name="_GoBack"/>
      <w:bookmarkEnd w:id="0"/>
      <w:r w:rsidR="007947B4">
        <w:rPr>
          <w:color w:val="auto"/>
        </w:rPr>
        <w:t xml:space="preserve"> </w:t>
      </w:r>
      <w:r w:rsidR="00D06C16">
        <w:rPr>
          <w:color w:val="auto"/>
        </w:rPr>
        <w:t>at AIIMS, Raipur</w:t>
      </w:r>
      <w:r w:rsidR="00BA1DCD">
        <w:rPr>
          <w:color w:val="auto"/>
        </w:rPr>
        <w:t>, invites</w:t>
      </w:r>
      <w:r w:rsidR="005014A0">
        <w:rPr>
          <w:color w:val="auto"/>
        </w:rPr>
        <w:t xml:space="preserve"> sealed tenders, from eligible and qualified tenderers for </w:t>
      </w:r>
      <w:r w:rsidR="005E2BDF">
        <w:rPr>
          <w:color w:val="auto"/>
        </w:rPr>
        <w:t>supply, installation</w:t>
      </w:r>
      <w:r w:rsidR="003F7F94">
        <w:rPr>
          <w:color w:val="auto"/>
        </w:rPr>
        <w:t xml:space="preserve"> </w:t>
      </w:r>
      <w:r w:rsidR="005E2BDF">
        <w:rPr>
          <w:color w:val="auto"/>
        </w:rPr>
        <w:t xml:space="preserve">and commissioning </w:t>
      </w:r>
      <w:r w:rsidR="007C3924">
        <w:rPr>
          <w:color w:val="auto"/>
        </w:rPr>
        <w:t xml:space="preserve">of </w:t>
      </w:r>
      <w:r w:rsidR="00CE06BB">
        <w:rPr>
          <w:color w:val="auto"/>
        </w:rPr>
        <w:t>ELISA READER &amp; WASHER</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as</w:t>
      </w:r>
      <w:r w:rsidR="00180E53">
        <w:rPr>
          <w:color w:val="auto"/>
        </w:rPr>
        <w:t xml:space="preserve"> </w:t>
      </w:r>
      <w:r w:rsidR="00786786">
        <w:rPr>
          <w:color w:val="auto"/>
        </w:rPr>
        <w:t>per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w:t>
      </w:r>
      <w:r w:rsidR="00EB609E">
        <w:t>5</w:t>
      </w:r>
      <w:r w:rsidRPr="00704622">
        <w:t xml:space="preserve">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EB609E">
        <w:rPr>
          <w:sz w:val="24"/>
          <w:szCs w:val="24"/>
        </w:rPr>
        <w:t>2</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w:t>
      </w:r>
      <w:proofErr w:type="spellStart"/>
      <w:r w:rsidR="00787EEE" w:rsidRPr="00884F8E">
        <w:t>Lifecare</w:t>
      </w:r>
      <w:proofErr w:type="spellEnd"/>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proofErr w:type="spellStart"/>
      <w:r w:rsidR="001E5383" w:rsidRPr="00884F8E">
        <w:t>etc</w:t>
      </w:r>
      <w:proofErr w:type="spellEnd"/>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CE06BB" w:rsidRDefault="0071434A" w:rsidP="00CE06BB">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CE06BB" w:rsidRPr="00CE06BB" w:rsidRDefault="00CE06BB" w:rsidP="00CE06BB">
      <w:pPr>
        <w:pStyle w:val="Default"/>
        <w:jc w:val="both"/>
        <w:rPr>
          <w:b/>
          <w:lang w:val="en-US"/>
        </w:rPr>
      </w:pPr>
      <w:r w:rsidRPr="00CE06BB">
        <w:rPr>
          <w:b/>
          <w:lang w:val="en-US"/>
        </w:rPr>
        <w:t xml:space="preserve"> (A)</w:t>
      </w:r>
      <w:r w:rsidRPr="00CE06BB">
        <w:rPr>
          <w:b/>
          <w:lang w:val="en-US"/>
        </w:rPr>
        <w:tab/>
        <w:t>On delivery:</w:t>
      </w:r>
    </w:p>
    <w:p w:rsidR="00CE06BB" w:rsidRPr="00CE06BB" w:rsidRDefault="00CE06BB" w:rsidP="00CE06BB">
      <w:pPr>
        <w:pStyle w:val="Default"/>
        <w:jc w:val="both"/>
        <w:rPr>
          <w:lang w:val="en-US"/>
        </w:rPr>
      </w:pPr>
    </w:p>
    <w:p w:rsidR="00CE06BB" w:rsidRDefault="00CE06BB" w:rsidP="00CE06BB">
      <w:pPr>
        <w:pStyle w:val="Default"/>
        <w:jc w:val="both"/>
        <w:rPr>
          <w:lang w:val="en-US"/>
        </w:rPr>
      </w:pPr>
      <w:r w:rsidRPr="00CE06BB">
        <w:rPr>
          <w:lang w:val="en-US"/>
        </w:rPr>
        <w:t>80 % payment of the contract price shall be made on receipt of goods in good condition and upon the submission of the following documents:</w:t>
      </w:r>
    </w:p>
    <w:p w:rsidR="00CE06BB" w:rsidRPr="00CE06BB" w:rsidRDefault="00CE06BB" w:rsidP="00CE06BB">
      <w:pPr>
        <w:pStyle w:val="Default"/>
        <w:jc w:val="both"/>
        <w:rPr>
          <w:lang w:val="en-US"/>
        </w:rPr>
      </w:pPr>
    </w:p>
    <w:p w:rsidR="00CE06BB" w:rsidRPr="00CE06BB" w:rsidRDefault="00CE06BB" w:rsidP="00CE06BB">
      <w:pPr>
        <w:pStyle w:val="Default"/>
        <w:jc w:val="both"/>
        <w:rPr>
          <w:lang w:val="en-US"/>
        </w:rPr>
      </w:pPr>
      <w:r w:rsidRPr="00CE06BB">
        <w:rPr>
          <w:lang w:val="en-US"/>
        </w:rPr>
        <w:t>(</w:t>
      </w:r>
      <w:proofErr w:type="gramStart"/>
      <w:r w:rsidRPr="00CE06BB">
        <w:rPr>
          <w:lang w:val="en-US"/>
        </w:rPr>
        <w:t>i</w:t>
      </w:r>
      <w:proofErr w:type="gramEnd"/>
      <w:r w:rsidRPr="00CE06BB">
        <w:rPr>
          <w:lang w:val="en-US"/>
        </w:rPr>
        <w:t xml:space="preserve">)Three copies of supplier’s invoice showing contract number, goods description, quantity, </w:t>
      </w:r>
      <w:proofErr w:type="gramStart"/>
      <w:r w:rsidRPr="00CE06BB">
        <w:rPr>
          <w:lang w:val="en-US"/>
        </w:rPr>
        <w:t>unit</w:t>
      </w:r>
      <w:proofErr w:type="gramEnd"/>
      <w:r w:rsidRPr="00CE06BB">
        <w:rPr>
          <w:lang w:val="en-US"/>
        </w:rPr>
        <w:t xml:space="preserve"> price and total amount;</w:t>
      </w:r>
    </w:p>
    <w:p w:rsidR="00CE06BB" w:rsidRPr="00CE06BB" w:rsidRDefault="00CE06BB" w:rsidP="00CE06BB">
      <w:pPr>
        <w:pStyle w:val="Default"/>
        <w:jc w:val="both"/>
        <w:rPr>
          <w:lang w:val="en-US"/>
        </w:rPr>
      </w:pPr>
      <w:r w:rsidRPr="00CE06BB">
        <w:rPr>
          <w:lang w:val="en-US"/>
        </w:rPr>
        <w:t>(ii)</w:t>
      </w:r>
      <w:r>
        <w:rPr>
          <w:lang w:val="en-US"/>
        </w:rPr>
        <w:t xml:space="preserve"> </w:t>
      </w:r>
      <w:r w:rsidRPr="00CE06BB">
        <w:rPr>
          <w:lang w:val="en-US"/>
        </w:rPr>
        <w:t>Consignee Receipt Certificate in original issued by the authorized representative of the consignee as per the format at Annexure-VII;</w:t>
      </w:r>
    </w:p>
    <w:p w:rsidR="00CE06BB" w:rsidRPr="00CE06BB" w:rsidRDefault="00CE06BB" w:rsidP="00CE06BB">
      <w:pPr>
        <w:pStyle w:val="Default"/>
        <w:jc w:val="both"/>
        <w:rPr>
          <w:lang w:val="en-US"/>
        </w:rPr>
      </w:pPr>
      <w:r w:rsidRPr="00CE06BB">
        <w:rPr>
          <w:lang w:val="en-US"/>
        </w:rPr>
        <w:t>(iii) Warranty Certificate.</w:t>
      </w:r>
    </w:p>
    <w:p w:rsidR="00CE06BB" w:rsidRPr="00CE06BB" w:rsidRDefault="00CE06BB" w:rsidP="00CE06BB">
      <w:pPr>
        <w:pStyle w:val="Default"/>
        <w:jc w:val="both"/>
        <w:rPr>
          <w:lang w:val="en-US"/>
        </w:rPr>
      </w:pPr>
    </w:p>
    <w:p w:rsidR="00CE06BB" w:rsidRPr="00CE06BB" w:rsidRDefault="00CE06BB" w:rsidP="00CE06BB">
      <w:pPr>
        <w:pStyle w:val="Default"/>
        <w:jc w:val="both"/>
        <w:rPr>
          <w:b/>
          <w:lang w:val="en-US"/>
        </w:rPr>
      </w:pPr>
      <w:r w:rsidRPr="00CE06BB">
        <w:rPr>
          <w:b/>
          <w:lang w:val="en-US"/>
        </w:rPr>
        <w:t>(B)</w:t>
      </w:r>
      <w:r w:rsidRPr="00CE06BB">
        <w:rPr>
          <w:b/>
          <w:lang w:val="en-US"/>
        </w:rPr>
        <w:tab/>
        <w:t>On Acceptance:</w:t>
      </w:r>
    </w:p>
    <w:p w:rsidR="00CE06BB" w:rsidRPr="00CE06BB" w:rsidRDefault="00CE06BB" w:rsidP="00CE06BB">
      <w:pPr>
        <w:pStyle w:val="Default"/>
        <w:jc w:val="both"/>
        <w:rPr>
          <w:lang w:val="en-US"/>
        </w:rPr>
      </w:pPr>
    </w:p>
    <w:p w:rsidR="00CE06BB" w:rsidRPr="0071434A" w:rsidRDefault="00CE06BB" w:rsidP="00CE06BB">
      <w:pPr>
        <w:pStyle w:val="Default"/>
        <w:jc w:val="both"/>
        <w:rPr>
          <w:lang w:val="en-US"/>
        </w:rPr>
      </w:pPr>
      <w:r w:rsidRPr="00CE06BB">
        <w:rPr>
          <w:lang w:val="en-US"/>
        </w:rPr>
        <w:t>Balance 20 % payment would be made against ‘Final Acceptance Certificate’ as per the format at Annexure-VIII to be issued by the consignee accompanied by installation and commissioning certificate wherever applicable, subject to recoveries, if any.</w:t>
      </w:r>
    </w:p>
    <w:p w:rsidR="0071434A" w:rsidRPr="0071434A" w:rsidRDefault="0071434A" w:rsidP="0071434A">
      <w:pPr>
        <w:pStyle w:val="Default"/>
        <w:tabs>
          <w:tab w:val="left" w:pos="2076"/>
        </w:tabs>
        <w:jc w:val="both"/>
        <w:rPr>
          <w:lang w:val="en-US"/>
        </w:rPr>
      </w:pPr>
      <w:r w:rsidRPr="0071434A">
        <w:rPr>
          <w:lang w:val="en-US"/>
        </w:rPr>
        <w:tab/>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w:t>
      </w:r>
      <w:r w:rsidR="00E3164D">
        <w:t>8</w:t>
      </w:r>
      <w:r w:rsidR="00CF2943">
        <w:t xml:space="preserve">000 ( Rupees </w:t>
      </w:r>
      <w:r w:rsidR="00E3164D">
        <w:t>Eight</w:t>
      </w:r>
      <w:r w:rsidR="000D5A07">
        <w:t xml:space="preserve">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sidR="00B03A4B">
        <w:t xml:space="preserve"> </w:t>
      </w:r>
      <w:r>
        <w:t xml:space="preserve">pamphlets, etc. shall be taken for information purpose only </w:t>
      </w:r>
      <w:proofErr w:type="gramStart"/>
      <w:r>
        <w:t>and  shall</w:t>
      </w:r>
      <w:proofErr w:type="gramEnd"/>
      <w:r>
        <w:t xml:space="preserve">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proofErr w:type="spellStart"/>
      <w:r w:rsidR="00F63ADD" w:rsidRPr="006415B1">
        <w:rPr>
          <w:bCs/>
        </w:rPr>
        <w:t>and</w:t>
      </w:r>
      <w:r w:rsidR="00174745">
        <w:rPr>
          <w:bCs/>
        </w:rPr>
        <w:t>t</w:t>
      </w:r>
      <w:r w:rsidRPr="006415B1">
        <w:rPr>
          <w:bCs/>
        </w:rPr>
        <w:t>he</w:t>
      </w:r>
      <w:proofErr w:type="spellEnd"/>
      <w:r w:rsidRPr="006415B1">
        <w:rPr>
          <w:bCs/>
        </w:rPr>
        <w:t xml:space="preserve"> supplier in connection with </w:t>
      </w:r>
      <w:proofErr w:type="gramStart"/>
      <w:r w:rsidRPr="006415B1">
        <w:rPr>
          <w:bCs/>
        </w:rPr>
        <w:t>or</w:t>
      </w:r>
      <w:proofErr w:type="gramEnd"/>
      <w:r w:rsidRPr="006415B1">
        <w:rPr>
          <w:bCs/>
        </w:rPr>
        <w:t xml:space="preserve">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.3</w:t>
      </w:r>
      <w:proofErr w:type="gramStart"/>
      <w:r w:rsidR="006415B1" w:rsidRPr="006415B1">
        <w:rPr>
          <w:bCs/>
        </w:rPr>
        <w:t>.Venue</w:t>
      </w:r>
      <w:proofErr w:type="gramEnd"/>
      <w:r w:rsidR="006415B1" w:rsidRPr="006415B1">
        <w:rPr>
          <w:bCs/>
        </w:rPr>
        <w:t xml:space="preserve"> of Arbitration: The venue of arbitration shall be </w:t>
      </w:r>
      <w:proofErr w:type="spellStart"/>
      <w:r w:rsidR="00985541" w:rsidRPr="00985541">
        <w:rPr>
          <w:b/>
        </w:rPr>
        <w:t>Bangalore</w:t>
      </w:r>
      <w:r>
        <w:rPr>
          <w:b/>
        </w:rPr>
        <w:t>,</w:t>
      </w:r>
      <w:r w:rsidR="006415B1" w:rsidRPr="006415B1">
        <w:rPr>
          <w:bCs/>
        </w:rPr>
        <w:t>India</w:t>
      </w:r>
      <w:proofErr w:type="spellEnd"/>
      <w:r w:rsidR="006415B1"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 xml:space="preserve">should </w:t>
            </w:r>
            <w:proofErr w:type="spellStart"/>
            <w:r>
              <w:t>besent</w:t>
            </w:r>
            <w:proofErr w:type="spellEnd"/>
            <w:r>
              <w:t xml:space="preserve">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w:t>
            </w:r>
            <w:proofErr w:type="spellStart"/>
            <w:r w:rsidR="000D5A07">
              <w:rPr>
                <w:b/>
                <w:bCs/>
              </w:rPr>
              <w:t>Kuvempu</w:t>
            </w:r>
            <w:proofErr w:type="spellEnd"/>
            <w:r w:rsidR="000D5A07">
              <w:rPr>
                <w:b/>
                <w:bCs/>
              </w:rPr>
              <w:t xml:space="preserve"> coffee board layout</w:t>
            </w:r>
          </w:p>
          <w:p w:rsidR="00D7184B" w:rsidRPr="00D7184B" w:rsidRDefault="00D7184B" w:rsidP="00D7184B">
            <w:pPr>
              <w:ind w:left="1332"/>
              <w:jc w:val="both"/>
              <w:rPr>
                <w:b/>
                <w:bCs/>
              </w:rPr>
            </w:pPr>
            <w:proofErr w:type="spellStart"/>
            <w:r w:rsidRPr="00D7184B">
              <w:rPr>
                <w:b/>
                <w:bCs/>
              </w:rPr>
              <w:t>Kempapura</w:t>
            </w:r>
            <w:proofErr w:type="spellEnd"/>
            <w:r w:rsidR="000D5A07">
              <w:rPr>
                <w:b/>
                <w:bCs/>
              </w:rPr>
              <w:t xml:space="preserve">, </w:t>
            </w:r>
            <w:proofErr w:type="spellStart"/>
            <w:r w:rsidR="000D5A07">
              <w:rPr>
                <w:b/>
                <w:bCs/>
              </w:rPr>
              <w:t>Hebbal</w:t>
            </w:r>
            <w:proofErr w:type="spellEnd"/>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E3164D">
              <w:rPr>
                <w:b/>
                <w:bCs/>
              </w:rPr>
              <w:t>13</w:t>
            </w:r>
            <w:r w:rsidR="00706FA4" w:rsidRPr="009A6926">
              <w:rPr>
                <w:b/>
                <w:bCs/>
              </w:rPr>
              <w:t>/0</w:t>
            </w:r>
            <w:r w:rsidR="00E3164D">
              <w:rPr>
                <w:b/>
                <w:bCs/>
              </w:rPr>
              <w:t>9</w:t>
            </w:r>
            <w:r w:rsidR="00706FA4" w:rsidRPr="009A6926">
              <w:rPr>
                <w:b/>
                <w:bCs/>
              </w:rPr>
              <w:t>/201</w:t>
            </w:r>
            <w:r w:rsidR="00F43656">
              <w:rPr>
                <w:b/>
                <w:bCs/>
              </w:rPr>
              <w:t>3</w:t>
            </w:r>
            <w:r w:rsidRPr="009A6926">
              <w:rPr>
                <w:b/>
                <w:bCs/>
              </w:rPr>
              <w:t xml:space="preserve"> up</w:t>
            </w:r>
            <w:r w:rsidR="00142C04">
              <w:rPr>
                <w:b/>
                <w:bCs/>
              </w:rPr>
              <w:t xml:space="preserve"> </w:t>
            </w:r>
            <w:r w:rsidRPr="009A6926">
              <w:rPr>
                <w:b/>
                <w:bCs/>
              </w:rPr>
              <w:t xml:space="preserve">to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proofErr w:type="spellStart"/>
            <w:r>
              <w:rPr>
                <w:b/>
                <w:bCs/>
              </w:rPr>
              <w:t>VALIDITY:</w:t>
            </w:r>
            <w:r>
              <w:t>The</w:t>
            </w:r>
            <w:proofErr w:type="spellEnd"/>
            <w:r>
              <w:t xml:space="preserv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w:t>
            </w:r>
            <w:proofErr w:type="spellStart"/>
            <w:r>
              <w:t>herein.</w:t>
            </w:r>
            <w:r w:rsidR="004A3D2B">
              <w:t>The</w:t>
            </w:r>
            <w:proofErr w:type="spellEnd"/>
            <w:r w:rsidR="004A3D2B">
              <w:t xml:space="preserv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E3164D" w:rsidRDefault="00E3164D">
      <w:pPr>
        <w:pStyle w:val="Footer"/>
        <w:tabs>
          <w:tab w:val="clear" w:pos="4320"/>
          <w:tab w:val="clear" w:pos="8640"/>
        </w:tabs>
        <w:jc w:val="right"/>
        <w:rPr>
          <w:b/>
          <w:bCs/>
          <w:u w:val="single"/>
        </w:rPr>
      </w:pPr>
    </w:p>
    <w:p w:rsidR="005014A0" w:rsidRDefault="005014A0" w:rsidP="00E3164D">
      <w:pPr>
        <w:pStyle w:val="Footer"/>
        <w:tabs>
          <w:tab w:val="clear" w:pos="4320"/>
          <w:tab w:val="clear" w:pos="8640"/>
        </w:tabs>
        <w:jc w:val="center"/>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BA1DCD">
            <w:pPr>
              <w:rPr>
                <w:b/>
                <w:bCs/>
              </w:rPr>
            </w:pPr>
            <w:r w:rsidRPr="009A6926">
              <w:rPr>
                <w:b/>
                <w:bCs/>
              </w:rPr>
              <w:t xml:space="preserve">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BA1DCD">
            <w:pPr>
              <w:rPr>
                <w:b/>
                <w:bCs/>
              </w:rPr>
            </w:pPr>
            <w:r w:rsidRPr="009A6926">
              <w:rPr>
                <w:b/>
                <w:bCs/>
              </w:rPr>
              <w:t>E.M.D. Amount (</w:t>
            </w:r>
            <w:r w:rsidR="00BA1DCD">
              <w:rPr>
                <w:b/>
                <w:bCs/>
              </w:rPr>
              <w:t>INR</w:t>
            </w:r>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E3164D" w:rsidP="00C4125D">
            <w:pPr>
              <w:rPr>
                <w:b/>
                <w:bCs/>
              </w:rPr>
            </w:pPr>
            <w:r>
              <w:rPr>
                <w:b/>
                <w:bCs/>
              </w:rPr>
              <w:t>Elisa Reader &amp; Washer</w:t>
            </w:r>
          </w:p>
        </w:tc>
        <w:tc>
          <w:tcPr>
            <w:tcW w:w="1965" w:type="dxa"/>
            <w:tcBorders>
              <w:top w:val="nil"/>
              <w:left w:val="nil"/>
              <w:bottom w:val="single" w:sz="4" w:space="0" w:color="auto"/>
              <w:right w:val="single" w:sz="4" w:space="0" w:color="auto"/>
            </w:tcBorders>
            <w:shd w:val="clear" w:color="auto" w:fill="auto"/>
            <w:vAlign w:val="center"/>
          </w:tcPr>
          <w:p w:rsidR="00290468" w:rsidRDefault="00290468" w:rsidP="009A6926">
            <w:pPr>
              <w:rPr>
                <w:b/>
                <w:bCs/>
              </w:rPr>
            </w:pPr>
          </w:p>
          <w:p w:rsidR="00290468" w:rsidRDefault="00290468" w:rsidP="009A6926">
            <w:pPr>
              <w:rPr>
                <w:b/>
                <w:bCs/>
              </w:rPr>
            </w:pPr>
          </w:p>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E3164D" w:rsidP="009A6926">
            <w:pPr>
              <w:rPr>
                <w:b/>
                <w:bCs/>
              </w:rPr>
            </w:pPr>
            <w:r>
              <w:rPr>
                <w:b/>
                <w:bCs/>
              </w:rPr>
              <w:t>8</w:t>
            </w:r>
            <w:r w:rsidR="00C4125D">
              <w:rPr>
                <w:b/>
                <w:bCs/>
              </w:rPr>
              <w:t>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BA1DCD">
        <w:rPr>
          <w:color w:val="auto"/>
        </w:rPr>
        <w:t>15</w:t>
      </w:r>
      <w:r w:rsidR="0063109C">
        <w:rPr>
          <w:color w:val="auto"/>
        </w:rPr>
        <w:t>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w:t>
      </w:r>
      <w:r w:rsidR="00290468">
        <w:rPr>
          <w:color w:val="auto"/>
        </w:rPr>
        <w:t>0</w:t>
      </w:r>
      <w:r>
        <w:rPr>
          <w:color w:val="auto"/>
        </w:rPr>
        <w:t xml:space="preserve">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w:t>
      </w:r>
      <w:proofErr w:type="spellStart"/>
      <w:r>
        <w:rPr>
          <w:b/>
        </w:rPr>
        <w:t>at</w:t>
      </w:r>
      <w:r w:rsidR="00C4125D">
        <w:rPr>
          <w:b/>
        </w:rPr>
        <w:t>AIIMS</w:t>
      </w:r>
      <w:proofErr w:type="spellEnd"/>
      <w:r w:rsidR="00C4125D">
        <w:rPr>
          <w:b/>
        </w:rPr>
        <w:t>,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290468">
      <w:pPr>
        <w:pStyle w:val="Default"/>
        <w:tabs>
          <w:tab w:val="left" w:pos="2175"/>
          <w:tab w:val="left" w:pos="3705"/>
          <w:tab w:val="center" w:pos="5559"/>
        </w:tabs>
        <w:ind w:left="1560"/>
        <w:jc w:val="center"/>
        <w:rPr>
          <w:b/>
          <w:color w:val="000000" w:themeColor="text1"/>
          <w:u w:val="single"/>
        </w:rPr>
      </w:pPr>
      <w:r w:rsidRPr="00FC33A8">
        <w:rPr>
          <w:b/>
          <w:color w:val="000000" w:themeColor="text1"/>
          <w:u w:val="single"/>
        </w:rPr>
        <w:lastRenderedPageBreak/>
        <w:t xml:space="preserve">SHEDULE </w:t>
      </w:r>
      <w:r w:rsidR="009159E7">
        <w:rPr>
          <w:b/>
          <w:color w:val="000000" w:themeColor="text1"/>
          <w:u w:val="single"/>
        </w:rPr>
        <w:t>:</w:t>
      </w:r>
      <w:r w:rsidRPr="00FC33A8">
        <w:rPr>
          <w:b/>
          <w:color w:val="000000" w:themeColor="text1"/>
          <w:u w:val="single"/>
        </w:rPr>
        <w:t>1</w:t>
      </w:r>
    </w:p>
    <w:p w:rsidR="0063109C" w:rsidRPr="00FC33A8" w:rsidRDefault="0063109C" w:rsidP="00FC33A8">
      <w:pPr>
        <w:pStyle w:val="Default"/>
        <w:tabs>
          <w:tab w:val="left" w:pos="3705"/>
          <w:tab w:val="center" w:pos="5559"/>
        </w:tabs>
        <w:ind w:left="1560"/>
        <w:rPr>
          <w:b/>
          <w:color w:val="000000" w:themeColor="text1"/>
          <w:u w:val="single"/>
        </w:rPr>
      </w:pPr>
    </w:p>
    <w:p w:rsidR="00E3164D" w:rsidRPr="00E3164D" w:rsidRDefault="00E3164D" w:rsidP="00E3164D">
      <w:pPr>
        <w:tabs>
          <w:tab w:val="left" w:pos="2244"/>
          <w:tab w:val="center" w:pos="4680"/>
          <w:tab w:val="center" w:pos="5499"/>
        </w:tabs>
        <w:ind w:left="720" w:right="-720"/>
        <w:jc w:val="both"/>
        <w:rPr>
          <w:b/>
          <w:szCs w:val="28"/>
          <w:u w:val="single"/>
        </w:rPr>
      </w:pPr>
      <w:r w:rsidRPr="00E3164D">
        <w:rPr>
          <w:b/>
          <w:szCs w:val="28"/>
          <w:u w:val="single"/>
        </w:rPr>
        <w:t>Specification for ELISA Reader and Washer</w:t>
      </w:r>
    </w:p>
    <w:p w:rsidR="00E3164D" w:rsidRPr="00E3164D" w:rsidRDefault="00E3164D" w:rsidP="00E3164D">
      <w:pPr>
        <w:tabs>
          <w:tab w:val="center" w:pos="4680"/>
        </w:tabs>
        <w:ind w:left="720" w:right="-720"/>
        <w:rPr>
          <w:bCs/>
        </w:rPr>
      </w:pPr>
    </w:p>
    <w:p w:rsidR="00E3164D" w:rsidRDefault="00E3164D" w:rsidP="00E3164D">
      <w:pPr>
        <w:tabs>
          <w:tab w:val="center" w:pos="4680"/>
        </w:tabs>
        <w:ind w:left="720" w:right="-720"/>
        <w:rPr>
          <w:b/>
        </w:rPr>
      </w:pPr>
      <w:r w:rsidRPr="00E3164D">
        <w:rPr>
          <w:bCs/>
        </w:rPr>
        <w:t xml:space="preserve">Specification for   </w:t>
      </w:r>
      <w:r w:rsidRPr="00E3164D">
        <w:rPr>
          <w:b/>
        </w:rPr>
        <w:t xml:space="preserve">ELISA </w:t>
      </w:r>
      <w:proofErr w:type="gramStart"/>
      <w:r w:rsidRPr="00E3164D">
        <w:rPr>
          <w:b/>
        </w:rPr>
        <w:t>reader :</w:t>
      </w:r>
      <w:proofErr w:type="gramEnd"/>
      <w:r w:rsidRPr="00E3164D">
        <w:rPr>
          <w:b/>
        </w:rPr>
        <w:t xml:space="preserve"> .</w:t>
      </w:r>
    </w:p>
    <w:p w:rsidR="00E3164D" w:rsidRPr="00E3164D" w:rsidRDefault="00E3164D" w:rsidP="00E3164D">
      <w:pPr>
        <w:tabs>
          <w:tab w:val="center" w:pos="4680"/>
        </w:tabs>
        <w:ind w:left="720" w:right="-720"/>
        <w:rPr>
          <w:bCs/>
        </w:rPr>
      </w:pPr>
    </w:p>
    <w:p w:rsidR="00E3164D" w:rsidRPr="00E3164D" w:rsidRDefault="00E3164D" w:rsidP="00E3164D">
      <w:pPr>
        <w:tabs>
          <w:tab w:val="center" w:pos="4680"/>
        </w:tabs>
        <w:ind w:left="720" w:right="-720"/>
        <w:rPr>
          <w:bCs/>
          <w:lang w:val="en-IN"/>
        </w:rPr>
      </w:pPr>
      <w:r w:rsidRPr="00E3164D">
        <w:rPr>
          <w:bCs/>
          <w:lang w:val="en-IN"/>
        </w:rPr>
        <w:t>1. Should have 96 wells and should have reading capability of 1 to 96 wells individually.</w:t>
      </w:r>
    </w:p>
    <w:p w:rsidR="00E3164D" w:rsidRPr="00E3164D" w:rsidRDefault="00E3164D" w:rsidP="00E3164D">
      <w:pPr>
        <w:tabs>
          <w:tab w:val="center" w:pos="4680"/>
        </w:tabs>
        <w:ind w:left="720" w:right="-720"/>
        <w:rPr>
          <w:bCs/>
          <w:lang w:val="en-IN"/>
        </w:rPr>
      </w:pPr>
      <w:r w:rsidRPr="00E3164D">
        <w:rPr>
          <w:bCs/>
          <w:lang w:val="en-IN"/>
        </w:rPr>
        <w:t>2. Should have a linear measurement range of 0 to 3.000 Abs.</w:t>
      </w:r>
    </w:p>
    <w:p w:rsidR="00E3164D" w:rsidRPr="00E3164D" w:rsidRDefault="00E3164D" w:rsidP="00E3164D">
      <w:pPr>
        <w:tabs>
          <w:tab w:val="center" w:pos="4680"/>
        </w:tabs>
        <w:ind w:left="720" w:right="-720"/>
        <w:rPr>
          <w:bCs/>
          <w:lang w:val="en-IN"/>
        </w:rPr>
      </w:pPr>
      <w:r w:rsidRPr="00E3164D">
        <w:rPr>
          <w:bCs/>
          <w:lang w:val="en-IN"/>
        </w:rPr>
        <w:t>3. Should have wavelength range from 405 to 630nm or better.</w:t>
      </w:r>
    </w:p>
    <w:p w:rsidR="00E3164D" w:rsidRPr="00E3164D" w:rsidRDefault="00E3164D" w:rsidP="00E3164D">
      <w:pPr>
        <w:tabs>
          <w:tab w:val="center" w:pos="4680"/>
        </w:tabs>
        <w:ind w:left="720" w:right="-720"/>
        <w:rPr>
          <w:bCs/>
          <w:lang w:val="en-IN"/>
        </w:rPr>
      </w:pPr>
      <w:r w:rsidRPr="00E3164D">
        <w:rPr>
          <w:bCs/>
          <w:lang w:val="en-IN"/>
        </w:rPr>
        <w:t>4. Should have a photometric accuracy of 2% or better.</w:t>
      </w:r>
    </w:p>
    <w:p w:rsidR="00E3164D" w:rsidRPr="00E3164D" w:rsidRDefault="00E3164D" w:rsidP="00E3164D">
      <w:pPr>
        <w:tabs>
          <w:tab w:val="center" w:pos="4680"/>
        </w:tabs>
        <w:ind w:left="720" w:right="-720"/>
        <w:rPr>
          <w:bCs/>
          <w:lang w:val="en-IN"/>
        </w:rPr>
      </w:pPr>
      <w:r w:rsidRPr="00E3164D">
        <w:rPr>
          <w:bCs/>
          <w:lang w:val="en-IN"/>
        </w:rPr>
        <w:t>5. Should have a resolution of 0.001Abs.</w:t>
      </w:r>
    </w:p>
    <w:p w:rsidR="00E3164D" w:rsidRPr="00E3164D" w:rsidRDefault="00E3164D" w:rsidP="00E3164D">
      <w:pPr>
        <w:tabs>
          <w:tab w:val="center" w:pos="4680"/>
        </w:tabs>
        <w:ind w:left="720" w:right="-720"/>
        <w:rPr>
          <w:bCs/>
          <w:lang w:val="en-IN"/>
        </w:rPr>
      </w:pPr>
      <w:r w:rsidRPr="00E3164D">
        <w:rPr>
          <w:bCs/>
          <w:lang w:val="en-IN"/>
        </w:rPr>
        <w:t>6. Should have variable speed plate shaking capability.</w:t>
      </w:r>
    </w:p>
    <w:p w:rsidR="00E3164D" w:rsidRPr="00E3164D" w:rsidRDefault="00E3164D" w:rsidP="00E3164D">
      <w:pPr>
        <w:tabs>
          <w:tab w:val="center" w:pos="4680"/>
        </w:tabs>
        <w:ind w:left="720" w:right="-720"/>
        <w:rPr>
          <w:bCs/>
          <w:lang w:val="en-IN"/>
        </w:rPr>
      </w:pPr>
      <w:r w:rsidRPr="00E3164D">
        <w:rPr>
          <w:bCs/>
          <w:lang w:val="en-IN"/>
        </w:rPr>
        <w:t>7. Machine should be supplied with 4 standard filters 405, 450, 492 &amp; 630 nm.</w:t>
      </w:r>
    </w:p>
    <w:p w:rsidR="00E3164D" w:rsidRPr="00E3164D" w:rsidRDefault="00E3164D" w:rsidP="00E3164D">
      <w:pPr>
        <w:tabs>
          <w:tab w:val="center" w:pos="4680"/>
        </w:tabs>
        <w:ind w:left="720" w:right="-720"/>
        <w:rPr>
          <w:bCs/>
          <w:lang w:val="en-IN"/>
        </w:rPr>
      </w:pPr>
      <w:r w:rsidRPr="00E3164D">
        <w:rPr>
          <w:bCs/>
          <w:lang w:val="en-IN"/>
        </w:rPr>
        <w:t>8. Should have provision to add 2 additional filters.</w:t>
      </w:r>
    </w:p>
    <w:p w:rsidR="00E3164D" w:rsidRPr="00E3164D" w:rsidRDefault="00E3164D" w:rsidP="00E3164D">
      <w:pPr>
        <w:tabs>
          <w:tab w:val="center" w:pos="4680"/>
        </w:tabs>
        <w:ind w:left="720" w:right="-720"/>
        <w:rPr>
          <w:bCs/>
          <w:lang w:val="en-IN"/>
        </w:rPr>
      </w:pPr>
      <w:r w:rsidRPr="00E3164D">
        <w:rPr>
          <w:bCs/>
          <w:lang w:val="en-IN"/>
        </w:rPr>
        <w:t>9. Should have automatic filter selection.</w:t>
      </w:r>
    </w:p>
    <w:p w:rsidR="00E3164D" w:rsidRPr="00E3164D" w:rsidRDefault="00E3164D" w:rsidP="00E3164D">
      <w:pPr>
        <w:tabs>
          <w:tab w:val="center" w:pos="4680"/>
        </w:tabs>
        <w:ind w:left="720" w:right="-720"/>
        <w:rPr>
          <w:bCs/>
          <w:lang w:val="en-IN"/>
        </w:rPr>
      </w:pPr>
      <w:r w:rsidRPr="00E3164D">
        <w:rPr>
          <w:bCs/>
          <w:lang w:val="en-IN"/>
        </w:rPr>
        <w:t>10. Should have automatic calibration before each reading.</w:t>
      </w:r>
    </w:p>
    <w:p w:rsidR="00E3164D" w:rsidRPr="00E3164D" w:rsidRDefault="00E3164D" w:rsidP="00E3164D">
      <w:pPr>
        <w:tabs>
          <w:tab w:val="center" w:pos="4680"/>
        </w:tabs>
        <w:ind w:left="720" w:right="-720"/>
        <w:rPr>
          <w:bCs/>
          <w:lang w:val="en-IN"/>
        </w:rPr>
      </w:pPr>
      <w:r w:rsidRPr="00E3164D">
        <w:rPr>
          <w:bCs/>
          <w:lang w:val="en-IN"/>
        </w:rPr>
        <w:t>11. Should have facility for storage of calibration curves.</w:t>
      </w:r>
    </w:p>
    <w:p w:rsidR="00E3164D" w:rsidRPr="00E3164D" w:rsidRDefault="00E3164D" w:rsidP="00E3164D">
      <w:pPr>
        <w:tabs>
          <w:tab w:val="center" w:pos="4680"/>
        </w:tabs>
        <w:ind w:left="720" w:right="-720"/>
        <w:rPr>
          <w:bCs/>
          <w:lang w:val="en-IN"/>
        </w:rPr>
      </w:pPr>
      <w:r w:rsidRPr="00E3164D">
        <w:rPr>
          <w:bCs/>
          <w:lang w:val="en-IN"/>
        </w:rPr>
        <w:t>12. Capable of doing multi standard tests and controls.</w:t>
      </w:r>
    </w:p>
    <w:p w:rsidR="00E3164D" w:rsidRPr="00E3164D" w:rsidRDefault="00E3164D" w:rsidP="00E3164D">
      <w:pPr>
        <w:tabs>
          <w:tab w:val="center" w:pos="4680"/>
        </w:tabs>
        <w:ind w:left="720" w:right="-720"/>
        <w:rPr>
          <w:bCs/>
          <w:lang w:val="en-IN"/>
        </w:rPr>
      </w:pPr>
      <w:r w:rsidRPr="00E3164D">
        <w:rPr>
          <w:bCs/>
          <w:lang w:val="en-IN"/>
        </w:rPr>
        <w:t>13. Should have different types of blanking facility like air wise and well wise.</w:t>
      </w:r>
    </w:p>
    <w:p w:rsidR="00E3164D" w:rsidRPr="00E3164D" w:rsidRDefault="00E3164D" w:rsidP="00E3164D">
      <w:pPr>
        <w:tabs>
          <w:tab w:val="center" w:pos="4680"/>
        </w:tabs>
        <w:ind w:left="720" w:right="-720"/>
        <w:rPr>
          <w:bCs/>
          <w:lang w:val="en-IN"/>
        </w:rPr>
      </w:pPr>
      <w:r w:rsidRPr="00E3164D">
        <w:rPr>
          <w:bCs/>
          <w:lang w:val="en-IN"/>
        </w:rPr>
        <w:t>14. Should be capable of reading U</w:t>
      </w:r>
      <w:proofErr w:type="gramStart"/>
      <w:r w:rsidRPr="00E3164D">
        <w:rPr>
          <w:bCs/>
          <w:lang w:val="en-IN"/>
        </w:rPr>
        <w:t>,V</w:t>
      </w:r>
      <w:proofErr w:type="gramEnd"/>
      <w:r w:rsidRPr="00E3164D">
        <w:rPr>
          <w:bCs/>
          <w:lang w:val="en-IN"/>
        </w:rPr>
        <w:t xml:space="preserve"> and flat type wells.</w:t>
      </w:r>
    </w:p>
    <w:p w:rsidR="00E3164D" w:rsidRPr="00E3164D" w:rsidRDefault="00E3164D" w:rsidP="00E3164D">
      <w:pPr>
        <w:tabs>
          <w:tab w:val="center" w:pos="4680"/>
        </w:tabs>
        <w:ind w:left="720" w:right="-720"/>
        <w:rPr>
          <w:bCs/>
          <w:lang w:val="en-IN"/>
        </w:rPr>
      </w:pPr>
      <w:r w:rsidRPr="00E3164D">
        <w:rPr>
          <w:bCs/>
          <w:lang w:val="en-IN"/>
        </w:rPr>
        <w:t>15. Should use halogen light source and two spare bulbs should be provided.</w:t>
      </w:r>
    </w:p>
    <w:p w:rsidR="00E3164D" w:rsidRPr="00E3164D" w:rsidRDefault="00E3164D" w:rsidP="00E3164D">
      <w:pPr>
        <w:tabs>
          <w:tab w:val="center" w:pos="4680"/>
        </w:tabs>
        <w:ind w:left="720" w:right="-720"/>
        <w:rPr>
          <w:bCs/>
          <w:lang w:val="en-IN"/>
        </w:rPr>
      </w:pPr>
      <w:r w:rsidRPr="00E3164D">
        <w:rPr>
          <w:bCs/>
          <w:lang w:val="en-IN"/>
        </w:rPr>
        <w:t>16. Should have inbuilt or external thermal printer for direct printing from the equipment.</w:t>
      </w:r>
    </w:p>
    <w:p w:rsidR="00E3164D" w:rsidRPr="00E3164D" w:rsidRDefault="00E3164D" w:rsidP="00E3164D">
      <w:pPr>
        <w:tabs>
          <w:tab w:val="center" w:pos="4680"/>
        </w:tabs>
        <w:ind w:left="720" w:right="-720"/>
        <w:rPr>
          <w:bCs/>
          <w:lang w:val="en-IN"/>
        </w:rPr>
      </w:pPr>
      <w:r w:rsidRPr="00E3164D">
        <w:rPr>
          <w:bCs/>
          <w:lang w:val="en-IN"/>
        </w:rPr>
        <w:t>17. Should have external printer connectivity option.</w:t>
      </w:r>
    </w:p>
    <w:p w:rsidR="00E3164D" w:rsidRPr="00E3164D" w:rsidRDefault="00E3164D" w:rsidP="00E3164D">
      <w:pPr>
        <w:tabs>
          <w:tab w:val="center" w:pos="4680"/>
        </w:tabs>
        <w:ind w:left="720" w:right="-720"/>
        <w:rPr>
          <w:bCs/>
          <w:lang w:val="en-IN"/>
        </w:rPr>
      </w:pPr>
      <w:r w:rsidRPr="00E3164D">
        <w:rPr>
          <w:bCs/>
          <w:lang w:val="en-IN"/>
        </w:rPr>
        <w:t>18. Should work with input 200 to 240Vac 50 Hz supply.</w:t>
      </w:r>
    </w:p>
    <w:p w:rsidR="00E3164D" w:rsidRPr="00E3164D" w:rsidRDefault="00E3164D" w:rsidP="00E3164D">
      <w:pPr>
        <w:tabs>
          <w:tab w:val="center" w:pos="4680"/>
        </w:tabs>
        <w:ind w:left="720" w:right="-720"/>
        <w:rPr>
          <w:bCs/>
          <w:lang w:val="en-IN"/>
        </w:rPr>
      </w:pPr>
      <w:r w:rsidRPr="00E3164D">
        <w:rPr>
          <w:bCs/>
          <w:lang w:val="en-IN"/>
        </w:rPr>
        <w:t>19. Should have display option and storage of plates readings.</w:t>
      </w:r>
    </w:p>
    <w:p w:rsidR="00E3164D" w:rsidRPr="00E3164D" w:rsidRDefault="00E3164D" w:rsidP="00E3164D">
      <w:pPr>
        <w:tabs>
          <w:tab w:val="center" w:pos="4680"/>
        </w:tabs>
        <w:ind w:left="720" w:right="-720"/>
        <w:rPr>
          <w:bCs/>
          <w:lang w:val="en-IN"/>
        </w:rPr>
      </w:pPr>
      <w:r w:rsidRPr="00E3164D">
        <w:rPr>
          <w:bCs/>
          <w:lang w:val="en-IN"/>
        </w:rPr>
        <w:t>20. Should have graphical display of plate layout for specifying controls, standards, blanks etc.</w:t>
      </w:r>
    </w:p>
    <w:p w:rsidR="00E3164D" w:rsidRPr="00E3164D" w:rsidRDefault="00E3164D" w:rsidP="00E3164D">
      <w:pPr>
        <w:tabs>
          <w:tab w:val="center" w:pos="4680"/>
        </w:tabs>
        <w:ind w:left="720" w:right="-720"/>
        <w:rPr>
          <w:bCs/>
          <w:lang w:val="en-IN"/>
        </w:rPr>
      </w:pPr>
      <w:r w:rsidRPr="00E3164D">
        <w:rPr>
          <w:bCs/>
          <w:lang w:val="en-IN"/>
        </w:rPr>
        <w:t xml:space="preserve">21. Should have safety certificate from a competent authority FDA (US)/IVD/ CE Certificate for efficacy of the machine for diagnostic application and shall be produced along with </w:t>
      </w:r>
      <w:proofErr w:type="gramStart"/>
      <w:r w:rsidRPr="00E3164D">
        <w:rPr>
          <w:bCs/>
          <w:lang w:val="en-IN"/>
        </w:rPr>
        <w:t>the  bid</w:t>
      </w:r>
      <w:proofErr w:type="gramEnd"/>
      <w:r w:rsidRPr="00E3164D">
        <w:rPr>
          <w:bCs/>
          <w:lang w:val="en-IN"/>
        </w:rPr>
        <w:t>.</w:t>
      </w:r>
    </w:p>
    <w:p w:rsidR="00E3164D" w:rsidRPr="00E3164D" w:rsidRDefault="00E3164D" w:rsidP="00E3164D">
      <w:pPr>
        <w:tabs>
          <w:tab w:val="center" w:pos="4680"/>
        </w:tabs>
        <w:ind w:left="720" w:right="-720"/>
        <w:rPr>
          <w:bCs/>
        </w:rPr>
      </w:pPr>
    </w:p>
    <w:p w:rsidR="00E3164D" w:rsidRDefault="00E3164D" w:rsidP="00E3164D">
      <w:pPr>
        <w:tabs>
          <w:tab w:val="center" w:pos="4680"/>
        </w:tabs>
        <w:ind w:left="720" w:right="-720"/>
        <w:rPr>
          <w:b/>
          <w:lang w:val="en-IN"/>
        </w:rPr>
      </w:pPr>
      <w:r w:rsidRPr="00E3164D">
        <w:rPr>
          <w:bCs/>
          <w:lang w:val="en-IN"/>
        </w:rPr>
        <w:t xml:space="preserve">. Specification for </w:t>
      </w:r>
      <w:r w:rsidRPr="00E3164D">
        <w:rPr>
          <w:b/>
          <w:lang w:val="en-IN"/>
        </w:rPr>
        <w:t>Elisa Washer:</w:t>
      </w:r>
    </w:p>
    <w:p w:rsidR="00E3164D" w:rsidRPr="00E3164D" w:rsidRDefault="00E3164D" w:rsidP="00E3164D">
      <w:pPr>
        <w:tabs>
          <w:tab w:val="center" w:pos="4680"/>
        </w:tabs>
        <w:ind w:left="720" w:right="-720"/>
        <w:rPr>
          <w:bCs/>
          <w:lang w:val="en-IN"/>
        </w:rPr>
      </w:pPr>
    </w:p>
    <w:p w:rsidR="00E3164D" w:rsidRPr="00E3164D" w:rsidRDefault="00E3164D" w:rsidP="00E3164D">
      <w:pPr>
        <w:tabs>
          <w:tab w:val="center" w:pos="4680"/>
        </w:tabs>
        <w:ind w:left="720" w:right="-720"/>
        <w:rPr>
          <w:bCs/>
          <w:lang w:val="en-IN"/>
        </w:rPr>
      </w:pPr>
      <w:r w:rsidRPr="00E3164D">
        <w:rPr>
          <w:bCs/>
          <w:lang w:val="en-IN"/>
        </w:rPr>
        <w:t xml:space="preserve">1. Should have capability to wash flat, U or V bottomed micro plates or 8 </w:t>
      </w:r>
      <w:proofErr w:type="gramStart"/>
      <w:r w:rsidRPr="00E3164D">
        <w:rPr>
          <w:bCs/>
          <w:lang w:val="en-IN"/>
        </w:rPr>
        <w:t>strip  plates</w:t>
      </w:r>
      <w:proofErr w:type="gramEnd"/>
      <w:r w:rsidRPr="00E3164D">
        <w:rPr>
          <w:bCs/>
          <w:lang w:val="en-IN"/>
        </w:rPr>
        <w:t>.</w:t>
      </w:r>
    </w:p>
    <w:p w:rsidR="00E3164D" w:rsidRPr="00E3164D" w:rsidRDefault="00E3164D" w:rsidP="00E3164D">
      <w:pPr>
        <w:tabs>
          <w:tab w:val="center" w:pos="4680"/>
        </w:tabs>
        <w:ind w:left="720" w:right="-720"/>
        <w:rPr>
          <w:bCs/>
          <w:lang w:val="en-IN"/>
        </w:rPr>
      </w:pPr>
      <w:r w:rsidRPr="00E3164D">
        <w:rPr>
          <w:bCs/>
          <w:lang w:val="en-IN"/>
        </w:rPr>
        <w:t>2. Should have 8/12 way manifold.</w:t>
      </w:r>
    </w:p>
    <w:p w:rsidR="00E3164D" w:rsidRPr="00E3164D" w:rsidRDefault="00E3164D" w:rsidP="00E3164D">
      <w:pPr>
        <w:tabs>
          <w:tab w:val="center" w:pos="4680"/>
        </w:tabs>
        <w:ind w:left="720" w:right="-720"/>
        <w:rPr>
          <w:bCs/>
          <w:lang w:val="en-IN"/>
        </w:rPr>
      </w:pPr>
      <w:r w:rsidRPr="00E3164D">
        <w:rPr>
          <w:bCs/>
          <w:lang w:val="en-IN"/>
        </w:rPr>
        <w:t>3. Should have 50 wash program software memory or more.</w:t>
      </w:r>
    </w:p>
    <w:p w:rsidR="00E3164D" w:rsidRPr="00E3164D" w:rsidRDefault="00E3164D" w:rsidP="00E3164D">
      <w:pPr>
        <w:tabs>
          <w:tab w:val="center" w:pos="4680"/>
        </w:tabs>
        <w:ind w:left="720" w:right="-720"/>
        <w:rPr>
          <w:bCs/>
          <w:lang w:val="en-IN"/>
        </w:rPr>
      </w:pPr>
      <w:r w:rsidRPr="00E3164D">
        <w:rPr>
          <w:bCs/>
          <w:lang w:val="en-IN"/>
        </w:rPr>
        <w:t>4. Should have programmable washing time, volume and soaking time.</w:t>
      </w:r>
    </w:p>
    <w:p w:rsidR="00E3164D" w:rsidRPr="00E3164D" w:rsidRDefault="00E3164D" w:rsidP="00E3164D">
      <w:pPr>
        <w:tabs>
          <w:tab w:val="center" w:pos="4680"/>
        </w:tabs>
        <w:ind w:left="720" w:right="-720"/>
        <w:rPr>
          <w:bCs/>
          <w:lang w:val="en-IN"/>
        </w:rPr>
      </w:pPr>
      <w:r w:rsidRPr="00E3164D">
        <w:rPr>
          <w:bCs/>
          <w:lang w:val="en-IN"/>
        </w:rPr>
        <w:t>5. Should have minimum 6 wash cycle.</w:t>
      </w:r>
    </w:p>
    <w:p w:rsidR="00E3164D" w:rsidRPr="00E3164D" w:rsidRDefault="00E3164D" w:rsidP="00E3164D">
      <w:pPr>
        <w:tabs>
          <w:tab w:val="center" w:pos="4680"/>
        </w:tabs>
        <w:ind w:left="720" w:right="-720"/>
        <w:rPr>
          <w:bCs/>
          <w:lang w:val="en-IN"/>
        </w:rPr>
      </w:pPr>
      <w:r w:rsidRPr="00E3164D">
        <w:rPr>
          <w:bCs/>
          <w:lang w:val="en-IN"/>
        </w:rPr>
        <w:t xml:space="preserve">6. Should have residual volume less than 3 </w:t>
      </w:r>
      <w:proofErr w:type="spellStart"/>
      <w:r w:rsidRPr="00E3164D">
        <w:rPr>
          <w:bCs/>
          <w:lang w:val="en-IN"/>
        </w:rPr>
        <w:t>ul</w:t>
      </w:r>
      <w:proofErr w:type="spellEnd"/>
      <w:r w:rsidRPr="00E3164D">
        <w:rPr>
          <w:bCs/>
          <w:lang w:val="en-IN"/>
        </w:rPr>
        <w:t xml:space="preserve"> with proper demo during technical demonstration.</w:t>
      </w:r>
    </w:p>
    <w:p w:rsidR="00E3164D" w:rsidRPr="00E3164D" w:rsidRDefault="00E3164D" w:rsidP="00E3164D">
      <w:pPr>
        <w:tabs>
          <w:tab w:val="center" w:pos="4680"/>
        </w:tabs>
        <w:ind w:left="720" w:right="-720"/>
        <w:rPr>
          <w:bCs/>
          <w:lang w:val="en-IN"/>
        </w:rPr>
      </w:pPr>
      <w:r w:rsidRPr="00E3164D">
        <w:rPr>
          <w:bCs/>
          <w:lang w:val="en-IN"/>
        </w:rPr>
        <w:t xml:space="preserve">7. Should have removable and </w:t>
      </w:r>
      <w:proofErr w:type="spellStart"/>
      <w:r w:rsidRPr="00E3164D">
        <w:rPr>
          <w:bCs/>
          <w:lang w:val="en-IN"/>
        </w:rPr>
        <w:t>autoclavable</w:t>
      </w:r>
      <w:proofErr w:type="spellEnd"/>
      <w:r w:rsidRPr="00E3164D">
        <w:rPr>
          <w:bCs/>
          <w:lang w:val="en-IN"/>
        </w:rPr>
        <w:t xml:space="preserve"> plate carrier.</w:t>
      </w:r>
    </w:p>
    <w:p w:rsidR="00E3164D" w:rsidRPr="00E3164D" w:rsidRDefault="00E3164D" w:rsidP="00E3164D">
      <w:pPr>
        <w:tabs>
          <w:tab w:val="center" w:pos="4680"/>
        </w:tabs>
        <w:ind w:left="720" w:right="-720"/>
        <w:rPr>
          <w:bCs/>
          <w:lang w:val="en-IN"/>
        </w:rPr>
      </w:pPr>
      <w:r w:rsidRPr="00E3164D">
        <w:rPr>
          <w:bCs/>
          <w:lang w:val="en-IN"/>
        </w:rPr>
        <w:t xml:space="preserve">8. Should have in-built </w:t>
      </w:r>
      <w:proofErr w:type="spellStart"/>
      <w:r w:rsidRPr="00E3164D">
        <w:rPr>
          <w:bCs/>
          <w:lang w:val="en-IN"/>
        </w:rPr>
        <w:t>vaccum</w:t>
      </w:r>
      <w:proofErr w:type="spellEnd"/>
      <w:r w:rsidRPr="00E3164D">
        <w:rPr>
          <w:bCs/>
          <w:lang w:val="en-IN"/>
        </w:rPr>
        <w:t xml:space="preserve"> and dispensing pumps to ensure accurate and quiet washing.</w:t>
      </w:r>
    </w:p>
    <w:p w:rsidR="00E3164D" w:rsidRPr="00E3164D" w:rsidRDefault="00E3164D" w:rsidP="00E3164D">
      <w:pPr>
        <w:tabs>
          <w:tab w:val="center" w:pos="4680"/>
        </w:tabs>
        <w:ind w:left="720" w:right="-720"/>
        <w:rPr>
          <w:bCs/>
          <w:lang w:val="en-IN"/>
        </w:rPr>
      </w:pPr>
      <w:r w:rsidRPr="00E3164D">
        <w:rPr>
          <w:bCs/>
          <w:lang w:val="en-IN"/>
        </w:rPr>
        <w:t>9. Should have waste bottle with full bottle alarm or sufficient mechanism to avoid spillage and damage to equipment.</w:t>
      </w:r>
    </w:p>
    <w:p w:rsidR="00E3164D" w:rsidRPr="00E3164D" w:rsidRDefault="00E3164D" w:rsidP="00E3164D">
      <w:pPr>
        <w:tabs>
          <w:tab w:val="center" w:pos="4680"/>
        </w:tabs>
        <w:ind w:left="720" w:right="-720"/>
        <w:rPr>
          <w:bCs/>
          <w:lang w:val="en-IN"/>
        </w:rPr>
      </w:pPr>
      <w:r w:rsidRPr="00E3164D">
        <w:rPr>
          <w:bCs/>
          <w:lang w:val="en-IN"/>
        </w:rPr>
        <w:t>10. Should have suction based wash buffer intake.</w:t>
      </w:r>
    </w:p>
    <w:p w:rsidR="00E3164D" w:rsidRPr="00E3164D" w:rsidRDefault="00E3164D" w:rsidP="00E3164D">
      <w:pPr>
        <w:tabs>
          <w:tab w:val="center" w:pos="4680"/>
        </w:tabs>
        <w:ind w:left="720" w:right="-720"/>
        <w:rPr>
          <w:bCs/>
          <w:lang w:val="en-IN"/>
        </w:rPr>
      </w:pPr>
      <w:r w:rsidRPr="00E3164D">
        <w:rPr>
          <w:bCs/>
          <w:lang w:val="en-IN"/>
        </w:rPr>
        <w:t>11. Should work with input 200 to 240Vac 50 Hz supply.</w:t>
      </w:r>
    </w:p>
    <w:p w:rsidR="00E3164D" w:rsidRPr="00E3164D" w:rsidRDefault="00E3164D" w:rsidP="00E3164D">
      <w:pPr>
        <w:tabs>
          <w:tab w:val="center" w:pos="4680"/>
        </w:tabs>
        <w:ind w:left="720" w:right="-720"/>
        <w:rPr>
          <w:bCs/>
          <w:lang w:val="en-IN"/>
        </w:rPr>
      </w:pPr>
      <w:r w:rsidRPr="00E3164D">
        <w:rPr>
          <w:bCs/>
          <w:lang w:val="en-IN"/>
        </w:rPr>
        <w:t>12. Should have safety certificate from a competent authority FDA (US)/IVD/ CE</w:t>
      </w:r>
    </w:p>
    <w:p w:rsidR="00E3164D" w:rsidRPr="00E3164D" w:rsidRDefault="00E3164D" w:rsidP="00E3164D">
      <w:pPr>
        <w:tabs>
          <w:tab w:val="center" w:pos="4680"/>
        </w:tabs>
        <w:ind w:left="720" w:right="-720"/>
        <w:rPr>
          <w:bCs/>
          <w:lang w:val="en-IN"/>
        </w:rPr>
      </w:pPr>
      <w:r w:rsidRPr="00E3164D">
        <w:rPr>
          <w:bCs/>
          <w:lang w:val="en-IN"/>
        </w:rPr>
        <w:t>Certificate for efficacy of the machine for diagnostic application and shall be produced along with the technical bid.</w:t>
      </w: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BA1DCD" w:rsidRDefault="00BA1DCD" w:rsidP="00D9090D">
      <w:pPr>
        <w:rPr>
          <w:lang w:val="en-GB" w:eastAsia="en-GB"/>
        </w:rPr>
      </w:pPr>
    </w:p>
    <w:p w:rsidR="00BA1DCD" w:rsidRDefault="00BA1DC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BA1DCD">
        <w:t>equipment</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lastRenderedPageBreak/>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 xml:space="preserve">Taxes </w:t>
      </w:r>
      <w:r w:rsidR="00BA1DCD">
        <w:rPr>
          <w:sz w:val="24"/>
          <w:szCs w:val="24"/>
        </w:rPr>
        <w:t>to be mentioned seperately , as for the delivery at Raipur.</w:t>
      </w:r>
      <w:r>
        <w:rPr>
          <w:sz w:val="24"/>
          <w:szCs w:val="24"/>
        </w:rPr>
        <w:t>.</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sidR="00BA1DCD">
        <w:rPr>
          <w:sz w:val="22"/>
          <w:szCs w:val="22"/>
        </w:rPr>
        <w:t xml:space="preserve"> </w:t>
      </w:r>
      <w:r>
        <w:rPr>
          <w:sz w:val="22"/>
          <w:szCs w:val="22"/>
        </w:rPr>
        <w:t xml:space="preserve">as per clause </w:t>
      </w:r>
      <w:r w:rsidR="00BA1DCD">
        <w:rPr>
          <w:sz w:val="22"/>
          <w:szCs w:val="22"/>
        </w:rPr>
        <w:t>8</w:t>
      </w:r>
      <w:r>
        <w:rPr>
          <w:sz w:val="22"/>
          <w:szCs w:val="22"/>
        </w:rPr>
        <w:t>.2.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w:t>
      </w:r>
      <w:proofErr w:type="spellStart"/>
      <w:r>
        <w:rPr>
          <w:color w:val="auto"/>
        </w:rPr>
        <w:t>modificationor</w:t>
      </w:r>
      <w:proofErr w:type="spellEnd"/>
      <w:r>
        <w:rPr>
          <w:color w:val="auto"/>
        </w:rPr>
        <w:t xml:space="preserve">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2F" w:rsidRDefault="00F7732F">
      <w:r>
        <w:separator/>
      </w:r>
    </w:p>
  </w:endnote>
  <w:endnote w:type="continuationSeparator" w:id="0">
    <w:p w:rsidR="00F7732F" w:rsidRDefault="00F7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06BB" w:rsidRDefault="00CE0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Style w:val="Footer"/>
      <w:pBdr>
        <w:bottom w:val="single" w:sz="6" w:space="1" w:color="auto"/>
      </w:pBdr>
      <w:tabs>
        <w:tab w:val="clear" w:pos="8640"/>
      </w:tabs>
      <w:jc w:val="center"/>
    </w:pPr>
  </w:p>
  <w:p w:rsidR="00CE06BB" w:rsidRDefault="00CE06BB">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BA1DCD">
      <w:rPr>
        <w:noProof/>
        <w:sz w:val="20"/>
      </w:rPr>
      <w:t>3</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BA1DCD">
      <w:rPr>
        <w:noProof/>
        <w:sz w:val="20"/>
      </w:rPr>
      <w:t>18</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2F" w:rsidRDefault="00F7732F">
      <w:r>
        <w:separator/>
      </w:r>
    </w:p>
  </w:footnote>
  <w:footnote w:type="continuationSeparator" w:id="0">
    <w:p w:rsidR="00F7732F" w:rsidRDefault="00F77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E06BB" w:rsidRDefault="00CE06B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CE06BB" w:rsidRDefault="00CE06BB">
    <w:pPr>
      <w:pStyle w:val="Header"/>
      <w:tabs>
        <w:tab w:val="clear" w:pos="4320"/>
        <w:tab w:val="clear" w:pos="8640"/>
      </w:tabs>
      <w:jc w:val="center"/>
    </w:pPr>
  </w:p>
  <w:p w:rsidR="00CE06BB" w:rsidRDefault="00CE06BB">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Bdr>
        <w:bottom w:val="single" w:sz="6" w:space="1" w:color="auto"/>
      </w:pBdr>
      <w:ind w:left="240" w:hanging="240"/>
      <w:jc w:val="center"/>
    </w:pPr>
    <w:r>
      <w:rPr>
        <w:sz w:val="20"/>
      </w:rPr>
      <w:t>HLL LIFECARE LTD</w:t>
    </w:r>
  </w:p>
  <w:p w:rsidR="00CE06BB" w:rsidRDefault="00CE06BB">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CE06BB" w:rsidRDefault="00CE06BB">
    <w:pPr>
      <w:ind w:left="240" w:hanging="240"/>
      <w:jc w:val="center"/>
      <w:rPr>
        <w:bCs/>
      </w:rPr>
    </w:pPr>
  </w:p>
  <w:p w:rsidR="00CE06BB" w:rsidRDefault="00CE06B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BB" w:rsidRDefault="00CE06BB">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30625B1"/>
    <w:multiLevelType w:val="hybridMultilevel"/>
    <w:tmpl w:val="CD0867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8">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2">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053CEC"/>
    <w:multiLevelType w:val="hybridMultilevel"/>
    <w:tmpl w:val="D2CA2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9"/>
  </w:num>
  <w:num w:numId="4">
    <w:abstractNumId w:val="10"/>
  </w:num>
  <w:num w:numId="5">
    <w:abstractNumId w:val="21"/>
  </w:num>
  <w:num w:numId="6">
    <w:abstractNumId w:val="27"/>
  </w:num>
  <w:num w:numId="7">
    <w:abstractNumId w:val="15"/>
  </w:num>
  <w:num w:numId="8">
    <w:abstractNumId w:val="7"/>
  </w:num>
  <w:num w:numId="9">
    <w:abstractNumId w:val="19"/>
  </w:num>
  <w:num w:numId="10">
    <w:abstractNumId w:val="5"/>
  </w:num>
  <w:num w:numId="11">
    <w:abstractNumId w:val="22"/>
  </w:num>
  <w:num w:numId="12">
    <w:abstractNumId w:val="17"/>
  </w:num>
  <w:num w:numId="13">
    <w:abstractNumId w:val="8"/>
  </w:num>
  <w:num w:numId="14">
    <w:abstractNumId w:val="2"/>
  </w:num>
  <w:num w:numId="15">
    <w:abstractNumId w:val="12"/>
  </w:num>
  <w:num w:numId="16">
    <w:abstractNumId w:val="14"/>
  </w:num>
  <w:num w:numId="17">
    <w:abstractNumId w:val="18"/>
  </w:num>
  <w:num w:numId="18">
    <w:abstractNumId w:val="13"/>
  </w:num>
  <w:num w:numId="19">
    <w:abstractNumId w:val="4"/>
  </w:num>
  <w:num w:numId="20">
    <w:abstractNumId w:val="0"/>
  </w:num>
  <w:num w:numId="21">
    <w:abstractNumId w:val="1"/>
  </w:num>
  <w:num w:numId="22">
    <w:abstractNumId w:val="25"/>
  </w:num>
  <w:num w:numId="23">
    <w:abstractNumId w:val="20"/>
  </w:num>
  <w:num w:numId="24">
    <w:abstractNumId w:val="16"/>
  </w:num>
  <w:num w:numId="25">
    <w:abstractNumId w:val="6"/>
  </w:num>
  <w:num w:numId="26">
    <w:abstractNumId w:val="26"/>
  </w:num>
  <w:num w:numId="27">
    <w:abstractNumId w:val="24"/>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87F56"/>
    <w:rsid w:val="00090B2D"/>
    <w:rsid w:val="000D028F"/>
    <w:rsid w:val="000D3C90"/>
    <w:rsid w:val="000D5A07"/>
    <w:rsid w:val="000E26C4"/>
    <w:rsid w:val="000E3933"/>
    <w:rsid w:val="000E45F4"/>
    <w:rsid w:val="000F5E76"/>
    <w:rsid w:val="000F6D22"/>
    <w:rsid w:val="000F6ECC"/>
    <w:rsid w:val="001025E4"/>
    <w:rsid w:val="00102AE2"/>
    <w:rsid w:val="00112F6F"/>
    <w:rsid w:val="001229A9"/>
    <w:rsid w:val="001229D8"/>
    <w:rsid w:val="00124FF8"/>
    <w:rsid w:val="00133A93"/>
    <w:rsid w:val="00133BEE"/>
    <w:rsid w:val="00136CCD"/>
    <w:rsid w:val="00140BC6"/>
    <w:rsid w:val="001415DD"/>
    <w:rsid w:val="00142C04"/>
    <w:rsid w:val="001546F9"/>
    <w:rsid w:val="00154E02"/>
    <w:rsid w:val="0015545C"/>
    <w:rsid w:val="001712C5"/>
    <w:rsid w:val="00172A90"/>
    <w:rsid w:val="00174745"/>
    <w:rsid w:val="00175F46"/>
    <w:rsid w:val="00180E53"/>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4EB8"/>
    <w:rsid w:val="00290468"/>
    <w:rsid w:val="00290AE5"/>
    <w:rsid w:val="002A1168"/>
    <w:rsid w:val="002A2E10"/>
    <w:rsid w:val="002B37DA"/>
    <w:rsid w:val="002C2ECE"/>
    <w:rsid w:val="002C3844"/>
    <w:rsid w:val="002E5077"/>
    <w:rsid w:val="002F157D"/>
    <w:rsid w:val="002F1F18"/>
    <w:rsid w:val="002F451A"/>
    <w:rsid w:val="002F6380"/>
    <w:rsid w:val="002F6477"/>
    <w:rsid w:val="00306073"/>
    <w:rsid w:val="003152C7"/>
    <w:rsid w:val="00324E14"/>
    <w:rsid w:val="00325E8B"/>
    <w:rsid w:val="0032648D"/>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A17C7"/>
    <w:rsid w:val="008B34C6"/>
    <w:rsid w:val="008C709A"/>
    <w:rsid w:val="008F05EB"/>
    <w:rsid w:val="008F575A"/>
    <w:rsid w:val="008F72B3"/>
    <w:rsid w:val="00901D75"/>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A1DCD"/>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06BB"/>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164D"/>
    <w:rsid w:val="00E33C34"/>
    <w:rsid w:val="00E65058"/>
    <w:rsid w:val="00E66887"/>
    <w:rsid w:val="00E67FCE"/>
    <w:rsid w:val="00E8358A"/>
    <w:rsid w:val="00E914B1"/>
    <w:rsid w:val="00EA2FC1"/>
    <w:rsid w:val="00EA6018"/>
    <w:rsid w:val="00EA73C7"/>
    <w:rsid w:val="00EB05F0"/>
    <w:rsid w:val="00EB4532"/>
    <w:rsid w:val="00EB5A18"/>
    <w:rsid w:val="00EB5CBC"/>
    <w:rsid w:val="00EB609E"/>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7732F"/>
    <w:rsid w:val="00F96B80"/>
    <w:rsid w:val="00FA1477"/>
    <w:rsid w:val="00FA34FD"/>
    <w:rsid w:val="00FA3D95"/>
    <w:rsid w:val="00FA5BCD"/>
    <w:rsid w:val="00FC33A8"/>
    <w:rsid w:val="00FC3FE2"/>
    <w:rsid w:val="00FD0C7D"/>
    <w:rsid w:val="00FD44EB"/>
    <w:rsid w:val="00FE7A6E"/>
    <w:rsid w:val="00FF1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HP</cp:lastModifiedBy>
  <cp:revision>3</cp:revision>
  <cp:lastPrinted>2013-02-06T09:35:00Z</cp:lastPrinted>
  <dcterms:created xsi:type="dcterms:W3CDTF">2013-08-28T03:58:00Z</dcterms:created>
  <dcterms:modified xsi:type="dcterms:W3CDTF">2013-08-28T04:25:00Z</dcterms:modified>
</cp:coreProperties>
</file>