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0C6F" w14:textId="12E118CF" w:rsidR="009D7D9A" w:rsidRPr="009D7D9A" w:rsidRDefault="009D7D9A" w:rsidP="009D7D9A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9D7D9A">
        <w:rPr>
          <w:b/>
          <w:bCs/>
          <w:sz w:val="28"/>
          <w:szCs w:val="28"/>
          <w:u w:val="single"/>
        </w:rPr>
        <w:t>AMENDMENT NO. 1</w:t>
      </w:r>
      <w:r>
        <w:rPr>
          <w:b/>
          <w:bCs/>
          <w:sz w:val="28"/>
          <w:szCs w:val="28"/>
          <w:u w:val="single"/>
        </w:rPr>
        <w:t xml:space="preserve"> </w:t>
      </w:r>
      <w:r w:rsidRPr="009D7D9A">
        <w:rPr>
          <w:b/>
          <w:bCs/>
          <w:sz w:val="28"/>
          <w:szCs w:val="28"/>
          <w:u w:val="single"/>
        </w:rPr>
        <w:t>Date: 21.04.2026</w:t>
      </w:r>
    </w:p>
    <w:p w14:paraId="348EB9E5" w14:textId="77777777" w:rsidR="009D7D9A" w:rsidRPr="009D7D9A" w:rsidRDefault="009D7D9A" w:rsidP="009D7D9A">
      <w:pPr>
        <w:spacing w:line="276" w:lineRule="auto"/>
        <w:rPr>
          <w:b/>
          <w:bCs/>
          <w:sz w:val="28"/>
          <w:szCs w:val="28"/>
          <w:u w:val="single"/>
        </w:rPr>
      </w:pPr>
      <w:r w:rsidRPr="009D7D9A">
        <w:rPr>
          <w:b/>
          <w:bCs/>
          <w:sz w:val="28"/>
          <w:szCs w:val="28"/>
          <w:u w:val="single"/>
        </w:rPr>
        <w:t>AMENDMENT TITLE: Change in Closing Date of Expression of Interest (EOI)</w:t>
      </w:r>
      <w:r w:rsidRPr="009D7D9A">
        <w:rPr>
          <w:b/>
          <w:bCs/>
          <w:sz w:val="28"/>
          <w:szCs w:val="28"/>
          <w:u w:val="single"/>
        </w:rPr>
        <w:br/>
        <w:t>Reference No.: CAS/EOI/1/2026 dated 31.03.2026</w:t>
      </w:r>
    </w:p>
    <w:p w14:paraId="21CA2C06" w14:textId="64BD6120" w:rsidR="009D7D9A" w:rsidRPr="009D7D9A" w:rsidRDefault="009D7D9A" w:rsidP="009D7D9A">
      <w:pPr>
        <w:spacing w:line="276" w:lineRule="auto"/>
        <w:jc w:val="both"/>
        <w:rPr>
          <w:b/>
          <w:bCs/>
          <w:sz w:val="28"/>
          <w:szCs w:val="28"/>
          <w:u w:val="single"/>
        </w:rPr>
      </w:pPr>
      <w:r w:rsidRPr="009D7D9A">
        <w:rPr>
          <w:b/>
          <w:bCs/>
          <w:sz w:val="28"/>
          <w:szCs w:val="28"/>
          <w:u w:val="single"/>
        </w:rPr>
        <w:t>TENDER TITLE: Empanelment of Internal Auditors for the Period 2026–27 to 2028–29</w:t>
      </w:r>
    </w:p>
    <w:p w14:paraId="6407B280" w14:textId="77777777" w:rsidR="009D7D9A" w:rsidRPr="009D7D9A" w:rsidRDefault="009D7D9A" w:rsidP="001A4DDC">
      <w:pPr>
        <w:spacing w:line="276" w:lineRule="auto"/>
        <w:jc w:val="both"/>
      </w:pPr>
      <w:r w:rsidRPr="009D7D9A">
        <w:t>The following amendments are hereby incorporated into the above-mentioned EOI document:</w:t>
      </w:r>
    </w:p>
    <w:p w14:paraId="1657CDEA" w14:textId="77777777" w:rsidR="009D7D9A" w:rsidRPr="009D7D9A" w:rsidRDefault="009D7D9A" w:rsidP="001A4DDC">
      <w:pPr>
        <w:spacing w:line="276" w:lineRule="auto"/>
        <w:jc w:val="both"/>
      </w:pPr>
      <w:r w:rsidRPr="009D7D9A">
        <w:t xml:space="preserve">1. </w:t>
      </w:r>
      <w:r w:rsidRPr="009D7D9A">
        <w:rPr>
          <w:b/>
          <w:bCs/>
          <w:u w:val="single"/>
        </w:rPr>
        <w:t>Last Date of Submission of Application</w:t>
      </w:r>
    </w:p>
    <w:p w14:paraId="418355B0" w14:textId="77777777" w:rsidR="009D7D9A" w:rsidRPr="009D7D9A" w:rsidRDefault="009D7D9A" w:rsidP="001A4DDC">
      <w:pPr>
        <w:spacing w:line="276" w:lineRule="auto"/>
        <w:jc w:val="both"/>
      </w:pPr>
      <w:r w:rsidRPr="00A36133">
        <w:rPr>
          <w:b/>
          <w:bCs/>
        </w:rPr>
        <w:t>Existing:</w:t>
      </w:r>
      <w:r w:rsidRPr="00A36133">
        <w:br/>
      </w:r>
      <w:r w:rsidRPr="009D7D9A">
        <w:t>Last date for submission of bidding document: 30.04.2026, 6:00 PM</w:t>
      </w:r>
    </w:p>
    <w:p w14:paraId="189FF9EC" w14:textId="6046B2D3" w:rsidR="009D7D9A" w:rsidRPr="009D7D9A" w:rsidRDefault="009D7D9A" w:rsidP="001A4DDC">
      <w:pPr>
        <w:spacing w:line="276" w:lineRule="auto"/>
        <w:jc w:val="both"/>
      </w:pPr>
      <w:r w:rsidRPr="00A36133">
        <w:rPr>
          <w:b/>
          <w:bCs/>
        </w:rPr>
        <w:t>Revised:</w:t>
      </w:r>
      <w:r w:rsidRPr="009D7D9A">
        <w:br/>
        <w:t>Last date for submission of bidding document: 1</w:t>
      </w:r>
      <w:r w:rsidR="005E52E7">
        <w:t>5</w:t>
      </w:r>
      <w:r w:rsidRPr="009D7D9A">
        <w:t>.05.2026, 6:00 PM</w:t>
      </w:r>
    </w:p>
    <w:p w14:paraId="4C438084" w14:textId="77777777" w:rsidR="009D7D9A" w:rsidRPr="009D7D9A" w:rsidRDefault="009D7D9A" w:rsidP="001A4DDC">
      <w:pPr>
        <w:spacing w:line="276" w:lineRule="auto"/>
        <w:jc w:val="both"/>
      </w:pPr>
      <w:r w:rsidRPr="009D7D9A">
        <w:t xml:space="preserve">2. </w:t>
      </w:r>
      <w:r w:rsidRPr="009D7D9A">
        <w:rPr>
          <w:b/>
          <w:bCs/>
          <w:u w:val="single"/>
        </w:rPr>
        <w:t>General Points – Sl. No. 19</w:t>
      </w:r>
    </w:p>
    <w:p w14:paraId="54A6211E" w14:textId="77777777" w:rsidR="009D7D9A" w:rsidRPr="009D7D9A" w:rsidRDefault="009D7D9A" w:rsidP="001A4DDC">
      <w:pPr>
        <w:spacing w:line="276" w:lineRule="auto"/>
        <w:jc w:val="both"/>
      </w:pPr>
      <w:r w:rsidRPr="00A36133">
        <w:rPr>
          <w:b/>
          <w:bCs/>
        </w:rPr>
        <w:t>Existing:</w:t>
      </w:r>
      <w:r w:rsidRPr="009D7D9A">
        <w:br/>
        <w:t>CA/CMA firms intending to apply for a particular State/States for audit should have either its head office or branch with a full-time partner in that State in which units are allotted for Internal Audit. States and the number of indicative units for Internal Audit are mentioned in Annexure 4.</w:t>
      </w:r>
    </w:p>
    <w:p w14:paraId="40333B3F" w14:textId="79D17D80" w:rsidR="009D7D9A" w:rsidRPr="009D7D9A" w:rsidRDefault="009D7D9A" w:rsidP="00C02B0A">
      <w:pPr>
        <w:spacing w:line="276" w:lineRule="auto"/>
        <w:jc w:val="both"/>
      </w:pPr>
      <w:r w:rsidRPr="00A36133">
        <w:rPr>
          <w:b/>
          <w:bCs/>
        </w:rPr>
        <w:t>Revised:</w:t>
      </w:r>
      <w:r w:rsidRPr="009D7D9A">
        <w:br/>
      </w:r>
      <w:r w:rsidR="00C02B0A">
        <w:t xml:space="preserve">CA/CMA firms </w:t>
      </w:r>
      <w:r w:rsidR="005C6655">
        <w:t xml:space="preserve">intending </w:t>
      </w:r>
      <w:r w:rsidR="00C02B0A">
        <w:t xml:space="preserve">to apply for empanelment </w:t>
      </w:r>
      <w:r w:rsidR="005C6655">
        <w:t xml:space="preserve">shall </w:t>
      </w:r>
      <w:r w:rsidRPr="009D7D9A">
        <w:t>specify the State(s) for which they wish to apply.</w:t>
      </w:r>
    </w:p>
    <w:p w14:paraId="0874AABE" w14:textId="77777777" w:rsidR="009D7D9A" w:rsidRPr="009D7D9A" w:rsidRDefault="009D7D9A" w:rsidP="001A4DDC">
      <w:pPr>
        <w:spacing w:line="276" w:lineRule="auto"/>
        <w:jc w:val="both"/>
        <w:rPr>
          <w:b/>
          <w:bCs/>
        </w:rPr>
      </w:pPr>
      <w:r w:rsidRPr="009D7D9A">
        <w:rPr>
          <w:b/>
          <w:bCs/>
        </w:rPr>
        <w:t xml:space="preserve">3. </w:t>
      </w:r>
      <w:r w:rsidRPr="009D7D9A">
        <w:rPr>
          <w:b/>
          <w:bCs/>
          <w:u w:val="single"/>
        </w:rPr>
        <w:t>Annexure-1 – Sl. No. 12</w:t>
      </w:r>
    </w:p>
    <w:p w14:paraId="7EC7001B" w14:textId="77777777" w:rsidR="009D7D9A" w:rsidRPr="009D7D9A" w:rsidRDefault="009D7D9A" w:rsidP="001A4DDC">
      <w:pPr>
        <w:spacing w:line="276" w:lineRule="auto"/>
        <w:jc w:val="both"/>
      </w:pPr>
      <w:r w:rsidRPr="00A36133">
        <w:rPr>
          <w:b/>
          <w:bCs/>
        </w:rPr>
        <w:t>Existing:</w:t>
      </w:r>
      <w:r w:rsidRPr="009D7D9A">
        <w:br/>
        <w:t>State(s) for which application is submitted (refer Point 14, Annexure 5)</w:t>
      </w:r>
    </w:p>
    <w:p w14:paraId="6A3D83C1" w14:textId="51BB51AB" w:rsidR="009D7D9A" w:rsidRPr="009D7D9A" w:rsidRDefault="009D7D9A" w:rsidP="00C02B0A">
      <w:pPr>
        <w:spacing w:line="276" w:lineRule="auto"/>
        <w:jc w:val="both"/>
      </w:pPr>
      <w:r w:rsidRPr="00A36133">
        <w:rPr>
          <w:b/>
          <w:bCs/>
        </w:rPr>
        <w:t>Revised:</w:t>
      </w:r>
      <w:r w:rsidRPr="009D7D9A">
        <w:br/>
      </w:r>
      <w:r w:rsidR="00C02B0A">
        <w:t xml:space="preserve">CA/CMA firms </w:t>
      </w:r>
      <w:r w:rsidR="005C6655">
        <w:t>intending</w:t>
      </w:r>
      <w:r w:rsidR="00C02B0A">
        <w:t xml:space="preserve"> to apply for empanelment </w:t>
      </w:r>
      <w:r w:rsidR="005C6655">
        <w:t>shall</w:t>
      </w:r>
      <w:r w:rsidR="00C02B0A" w:rsidRPr="009D7D9A">
        <w:t xml:space="preserve"> specify the State(s) for which they wish to apply</w:t>
      </w:r>
      <w:r w:rsidR="00C02B0A">
        <w:t>.</w:t>
      </w:r>
    </w:p>
    <w:p w14:paraId="54F4639F" w14:textId="77777777" w:rsidR="009D7D9A" w:rsidRPr="009D7D9A" w:rsidRDefault="009D7D9A" w:rsidP="001A4DDC">
      <w:pPr>
        <w:spacing w:line="276" w:lineRule="auto"/>
        <w:jc w:val="both"/>
        <w:rPr>
          <w:b/>
          <w:bCs/>
        </w:rPr>
      </w:pPr>
      <w:r w:rsidRPr="009D7D9A">
        <w:rPr>
          <w:b/>
          <w:bCs/>
        </w:rPr>
        <w:t xml:space="preserve">4. </w:t>
      </w:r>
      <w:r w:rsidRPr="009D7D9A">
        <w:rPr>
          <w:b/>
          <w:bCs/>
          <w:u w:val="single"/>
        </w:rPr>
        <w:t>Annexure-1 – Sl. No. 24</w:t>
      </w:r>
    </w:p>
    <w:p w14:paraId="3E9EA2CE" w14:textId="42F02F99" w:rsidR="009D7D9A" w:rsidRPr="009D7D9A" w:rsidRDefault="009D7D9A" w:rsidP="001A4DDC">
      <w:pPr>
        <w:spacing w:line="276" w:lineRule="auto"/>
        <w:jc w:val="both"/>
      </w:pPr>
      <w:r w:rsidRPr="00A36133">
        <w:rPr>
          <w:b/>
          <w:bCs/>
        </w:rPr>
        <w:t>Existing:</w:t>
      </w:r>
      <w:r w:rsidRPr="009D7D9A">
        <w:br/>
        <w:t>Signature of all Partners</w:t>
      </w:r>
    </w:p>
    <w:p w14:paraId="64E01CCB" w14:textId="24518C37" w:rsidR="005C6655" w:rsidRDefault="009D7D9A" w:rsidP="001A4DDC">
      <w:pPr>
        <w:spacing w:line="276" w:lineRule="auto"/>
        <w:jc w:val="both"/>
      </w:pPr>
      <w:r w:rsidRPr="00A36133">
        <w:rPr>
          <w:b/>
          <w:bCs/>
        </w:rPr>
        <w:lastRenderedPageBreak/>
        <w:t>Revised:</w:t>
      </w:r>
      <w:r w:rsidRPr="009D7D9A">
        <w:br/>
      </w:r>
      <w:r w:rsidR="005C6655" w:rsidRPr="005C6655">
        <w:t xml:space="preserve">The </w:t>
      </w:r>
      <w:r w:rsidR="005C6655">
        <w:t>P</w:t>
      </w:r>
      <w:r w:rsidR="005C6655" w:rsidRPr="005C6655">
        <w:t xml:space="preserve">artner duly authorized by the </w:t>
      </w:r>
      <w:r w:rsidR="005C6655">
        <w:t>F</w:t>
      </w:r>
      <w:r w:rsidR="005C6655" w:rsidRPr="005C6655">
        <w:t>irm is required to sign the tender document with seal</w:t>
      </w:r>
      <w:r w:rsidRPr="009D7D9A">
        <w:t>.</w:t>
      </w:r>
    </w:p>
    <w:p w14:paraId="1A358E6A" w14:textId="141E2E3A" w:rsidR="009D7D9A" w:rsidRPr="009D7D9A" w:rsidRDefault="009D7D9A" w:rsidP="001A4DDC">
      <w:pPr>
        <w:spacing w:line="276" w:lineRule="auto"/>
        <w:jc w:val="both"/>
      </w:pPr>
      <w:r w:rsidRPr="009D7D9A">
        <w:t xml:space="preserve"> </w:t>
      </w:r>
    </w:p>
    <w:p w14:paraId="083129D3" w14:textId="3902506D" w:rsidR="009D7D9A" w:rsidRPr="001A4DDC" w:rsidRDefault="001A4DDC" w:rsidP="001A4DDC">
      <w:pPr>
        <w:spacing w:line="276" w:lineRule="auto"/>
        <w:jc w:val="both"/>
      </w:pPr>
      <w:r w:rsidRPr="001A4DDC">
        <w:t xml:space="preserve">5. </w:t>
      </w:r>
      <w:r w:rsidR="009D7D9A" w:rsidRPr="009D7D9A">
        <w:t>All relevant clauses of the tender document shall be read in accordance with the above amendments. Documents submitted must comply with these changes.</w:t>
      </w:r>
      <w:r w:rsidRPr="001A4DDC">
        <w:t xml:space="preserve"> </w:t>
      </w:r>
      <w:r w:rsidR="009D7D9A" w:rsidRPr="009D7D9A">
        <w:t>All other specifications, terms, and conditions of the original tender document shall remain unchanged.</w:t>
      </w:r>
    </w:p>
    <w:p w14:paraId="03729156" w14:textId="77777777" w:rsidR="001A4DDC" w:rsidRDefault="001A4DDC" w:rsidP="001A4DDC">
      <w:pPr>
        <w:spacing w:line="276" w:lineRule="auto"/>
        <w:jc w:val="both"/>
        <w:rPr>
          <w:sz w:val="28"/>
          <w:szCs w:val="28"/>
        </w:rPr>
      </w:pPr>
    </w:p>
    <w:p w14:paraId="6E466788" w14:textId="77777777" w:rsidR="00D602B1" w:rsidRDefault="00D602B1" w:rsidP="001A4DDC">
      <w:pPr>
        <w:spacing w:line="276" w:lineRule="auto"/>
        <w:jc w:val="both"/>
        <w:rPr>
          <w:sz w:val="28"/>
          <w:szCs w:val="28"/>
        </w:rPr>
      </w:pPr>
    </w:p>
    <w:p w14:paraId="43C912B6" w14:textId="77777777" w:rsidR="001A4DDC" w:rsidRDefault="001A4DDC" w:rsidP="001A4DDC">
      <w:pPr>
        <w:spacing w:after="0" w:line="276" w:lineRule="auto"/>
        <w:jc w:val="both"/>
        <w:rPr>
          <w:b/>
          <w:bCs/>
        </w:rPr>
      </w:pPr>
      <w:r w:rsidRPr="0017289B">
        <w:rPr>
          <w:b/>
          <w:bCs/>
        </w:rPr>
        <w:t xml:space="preserve">CS &amp; Vice President (CAS) </w:t>
      </w:r>
    </w:p>
    <w:p w14:paraId="13DFAC22" w14:textId="77777777" w:rsidR="001A4DDC" w:rsidRPr="0017289B" w:rsidRDefault="001A4DDC" w:rsidP="001A4DDC">
      <w:pPr>
        <w:spacing w:after="0" w:line="276" w:lineRule="auto"/>
        <w:jc w:val="both"/>
        <w:rPr>
          <w:b/>
          <w:bCs/>
        </w:rPr>
      </w:pPr>
    </w:p>
    <w:p w14:paraId="06DB49EE" w14:textId="77777777" w:rsidR="001A4DDC" w:rsidRDefault="001A4DDC" w:rsidP="001A4DDC">
      <w:pPr>
        <w:spacing w:after="0" w:line="276" w:lineRule="auto"/>
        <w:jc w:val="both"/>
      </w:pPr>
      <w:r w:rsidRPr="0017289B">
        <w:t xml:space="preserve">HLL Lifecare Ltd., </w:t>
      </w:r>
    </w:p>
    <w:p w14:paraId="25AFDE11" w14:textId="77777777" w:rsidR="001A4DDC" w:rsidRDefault="001A4DDC" w:rsidP="001A4DDC">
      <w:pPr>
        <w:spacing w:after="0" w:line="276" w:lineRule="auto"/>
        <w:jc w:val="both"/>
      </w:pPr>
      <w:r w:rsidRPr="0017289B">
        <w:t xml:space="preserve">Corporate &amp; Registered Office, </w:t>
      </w:r>
    </w:p>
    <w:p w14:paraId="66E70B43" w14:textId="77777777" w:rsidR="001A4DDC" w:rsidRDefault="001A4DDC" w:rsidP="001A4DDC">
      <w:pPr>
        <w:spacing w:after="0" w:line="276" w:lineRule="auto"/>
        <w:jc w:val="both"/>
      </w:pPr>
      <w:r w:rsidRPr="0017289B">
        <w:t xml:space="preserve">HLL Bhawan, Poojappura, </w:t>
      </w:r>
    </w:p>
    <w:p w14:paraId="48A8086B" w14:textId="77777777" w:rsidR="001A4DDC" w:rsidRDefault="001A4DDC" w:rsidP="001A4DDC">
      <w:pPr>
        <w:spacing w:after="0" w:line="276" w:lineRule="auto"/>
        <w:jc w:val="both"/>
      </w:pPr>
      <w:r w:rsidRPr="0017289B">
        <w:t xml:space="preserve">Thiruvananthapuram-695012 </w:t>
      </w:r>
    </w:p>
    <w:p w14:paraId="7157CD1B" w14:textId="77777777" w:rsidR="001A4DDC" w:rsidRDefault="001A4DDC" w:rsidP="001A4DDC">
      <w:pPr>
        <w:spacing w:after="0" w:line="276" w:lineRule="auto"/>
        <w:jc w:val="both"/>
      </w:pPr>
      <w:r w:rsidRPr="0017289B">
        <w:t xml:space="preserve">Landline: 0471-2354949, </w:t>
      </w:r>
    </w:p>
    <w:p w14:paraId="506475A6" w14:textId="77777777" w:rsidR="001A4DDC" w:rsidRDefault="001A4DDC" w:rsidP="001A4DDC">
      <w:pPr>
        <w:spacing w:after="0" w:line="276" w:lineRule="auto"/>
        <w:jc w:val="both"/>
      </w:pPr>
      <w:r w:rsidRPr="0017289B">
        <w:t>e-mail address: cas@lifecarehll.com</w:t>
      </w:r>
    </w:p>
    <w:p w14:paraId="36D5D13E" w14:textId="77777777" w:rsidR="001A4DDC" w:rsidRPr="009D7D9A" w:rsidRDefault="001A4DDC" w:rsidP="001A4DDC">
      <w:pPr>
        <w:spacing w:line="276" w:lineRule="auto"/>
        <w:jc w:val="both"/>
        <w:rPr>
          <w:sz w:val="28"/>
          <w:szCs w:val="28"/>
        </w:rPr>
      </w:pPr>
    </w:p>
    <w:p w14:paraId="0446264B" w14:textId="77777777" w:rsidR="009D7D9A" w:rsidRDefault="009D7D9A" w:rsidP="007A2A16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00998581" w14:textId="77777777" w:rsidR="009D7D9A" w:rsidRDefault="009D7D9A" w:rsidP="007A2A16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3EFB0F0F" w14:textId="77777777" w:rsidR="009D7D9A" w:rsidRDefault="009D7D9A" w:rsidP="007A2A16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2AA59E3B" w14:textId="77777777" w:rsidR="009D7D9A" w:rsidRDefault="009D7D9A" w:rsidP="007A2A16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48A6A6E2" w14:textId="77777777" w:rsidR="009D7D9A" w:rsidRDefault="009D7D9A" w:rsidP="007A2A16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5A7720AA" w14:textId="77777777" w:rsidR="009D7D9A" w:rsidRDefault="009D7D9A" w:rsidP="007A2A16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070212C9" w14:textId="77777777" w:rsidR="009D7D9A" w:rsidRDefault="009D7D9A" w:rsidP="007A2A16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4C1D364A" w14:textId="77777777" w:rsidR="009D7D9A" w:rsidRDefault="009D7D9A" w:rsidP="007A2A16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</w:p>
    <w:p w14:paraId="5BF63E5D" w14:textId="4AFF870B" w:rsidR="00474EF3" w:rsidRDefault="00474EF3" w:rsidP="0017289B">
      <w:pPr>
        <w:spacing w:after="0" w:line="276" w:lineRule="auto"/>
        <w:jc w:val="both"/>
      </w:pPr>
    </w:p>
    <w:sectPr w:rsidR="00474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AF"/>
    <w:rsid w:val="0013603D"/>
    <w:rsid w:val="0017289B"/>
    <w:rsid w:val="001A4DDC"/>
    <w:rsid w:val="002C4BC7"/>
    <w:rsid w:val="00404B65"/>
    <w:rsid w:val="00474EF3"/>
    <w:rsid w:val="004777C4"/>
    <w:rsid w:val="004C4909"/>
    <w:rsid w:val="00536C2F"/>
    <w:rsid w:val="00543CFD"/>
    <w:rsid w:val="005C6655"/>
    <w:rsid w:val="005E1A71"/>
    <w:rsid w:val="005E52E7"/>
    <w:rsid w:val="0073059B"/>
    <w:rsid w:val="007A2A16"/>
    <w:rsid w:val="00943553"/>
    <w:rsid w:val="009D7D9A"/>
    <w:rsid w:val="00A36133"/>
    <w:rsid w:val="00B05C92"/>
    <w:rsid w:val="00C02B0A"/>
    <w:rsid w:val="00C332AF"/>
    <w:rsid w:val="00C8145B"/>
    <w:rsid w:val="00D6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25819"/>
  <w15:chartTrackingRefBased/>
  <w15:docId w15:val="{551D1213-CDA0-4198-A1C8-9B5C768C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2A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2A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2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2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2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2A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2A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2A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2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2A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2A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Aswathy</dc:creator>
  <cp:keywords/>
  <dc:description/>
  <cp:lastModifiedBy>Aswathy</cp:lastModifiedBy>
  <cp:revision>15</cp:revision>
  <dcterms:created xsi:type="dcterms:W3CDTF">2026-04-21T03:47:00Z</dcterms:created>
  <dcterms:modified xsi:type="dcterms:W3CDTF">2026-04-21T09:52:00Z</dcterms:modified>
</cp:coreProperties>
</file>